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43A5" w14:textId="77777777" w:rsidR="002367F4" w:rsidRPr="002367F4" w:rsidRDefault="002367F4" w:rsidP="002367F4">
      <w:pPr>
        <w:pStyle w:val="NoteLevel1"/>
        <w:numPr>
          <w:ilvl w:val="0"/>
          <w:numId w:val="0"/>
        </w:numPr>
        <w:rPr>
          <w:rFonts w:asciiTheme="majorHAnsi" w:hAnsiTheme="majorHAnsi"/>
          <w:b/>
          <w:sz w:val="28"/>
        </w:rPr>
      </w:pPr>
      <w:r w:rsidRPr="002367F4">
        <w:rPr>
          <w:rFonts w:asciiTheme="majorHAnsi" w:hAnsiTheme="majorHAnsi"/>
          <w:b/>
          <w:sz w:val="28"/>
        </w:rPr>
        <w:t>Determination of the Ripley ratio   (VFA/alkalinity)</w:t>
      </w:r>
    </w:p>
    <w:p w14:paraId="3307E889" w14:textId="77777777" w:rsidR="002367F4" w:rsidRPr="002367F4" w:rsidRDefault="002367F4" w:rsidP="002367F4">
      <w:pPr>
        <w:pStyle w:val="NoteLevel1"/>
        <w:numPr>
          <w:ilvl w:val="0"/>
          <w:numId w:val="0"/>
        </w:numPr>
        <w:rPr>
          <w:rFonts w:asciiTheme="majorHAnsi" w:hAnsiTheme="majorHAnsi"/>
          <w:b/>
          <w:u w:val="single"/>
        </w:rPr>
      </w:pPr>
    </w:p>
    <w:p w14:paraId="51709035" w14:textId="77777777" w:rsidR="002367F4" w:rsidRPr="002367F4" w:rsidRDefault="002367F4" w:rsidP="002367F4">
      <w:pPr>
        <w:pStyle w:val="NoteLevel1"/>
        <w:numPr>
          <w:ilvl w:val="0"/>
          <w:numId w:val="0"/>
        </w:numPr>
        <w:rPr>
          <w:rFonts w:asciiTheme="majorHAnsi" w:hAnsiTheme="majorHAnsi"/>
        </w:rPr>
      </w:pPr>
      <w:r w:rsidRPr="002367F4">
        <w:rPr>
          <w:rFonts w:asciiTheme="majorHAnsi" w:hAnsiTheme="majorHAnsi"/>
          <w:b/>
          <w:u w:val="single"/>
        </w:rPr>
        <w:t>Alkalinity</w:t>
      </w:r>
    </w:p>
    <w:p w14:paraId="6659232F" w14:textId="1D9A4283" w:rsidR="002367F4" w:rsidRPr="002367F4" w:rsidRDefault="002367F4" w:rsidP="002367F4">
      <w:pPr>
        <w:pStyle w:val="NoteLevel1"/>
        <w:rPr>
          <w:rFonts w:asciiTheme="majorHAnsi" w:hAnsiTheme="majorHAnsi"/>
        </w:rPr>
      </w:pPr>
      <w:r w:rsidRPr="002367F4">
        <w:rPr>
          <w:rFonts w:asciiTheme="majorHAnsi" w:hAnsiTheme="majorHAnsi"/>
        </w:rPr>
        <w:t>Alkalinity can be defined as alkalizing or buffering capacity and is often expressed as calcium carbonate (CaCO</w:t>
      </w:r>
      <w:r w:rsidRPr="00B16C89">
        <w:rPr>
          <w:rFonts w:asciiTheme="majorHAnsi" w:hAnsiTheme="majorHAnsi"/>
          <w:vertAlign w:val="subscript"/>
        </w:rPr>
        <w:t>3</w:t>
      </w:r>
      <w:r w:rsidRPr="002367F4">
        <w:rPr>
          <w:rFonts w:asciiTheme="majorHAnsi" w:hAnsiTheme="majorHAnsi"/>
        </w:rPr>
        <w:t xml:space="preserve">) equivalents. </w:t>
      </w:r>
      <w:r w:rsidR="00E5373B">
        <w:rPr>
          <w:rFonts w:asciiTheme="majorHAnsi" w:hAnsiTheme="majorHAnsi"/>
        </w:rPr>
        <w:t xml:space="preserve">Buffering capacity maintains a stable and neutral pH even as acid or base are added to digester slurry. </w:t>
      </w:r>
      <w:r w:rsidR="00627059">
        <w:rPr>
          <w:rFonts w:asciiTheme="majorHAnsi" w:hAnsiTheme="majorHAnsi"/>
        </w:rPr>
        <w:t xml:space="preserve">Feeding rich, high-energy feedstock materials increases the production of volatile fatty acids (VFAs) that are the precursor of methane. VFAs </w:t>
      </w:r>
      <w:r w:rsidR="0072315C">
        <w:rPr>
          <w:rFonts w:asciiTheme="majorHAnsi" w:hAnsiTheme="majorHAnsi"/>
        </w:rPr>
        <w:t xml:space="preserve">are indeed acids and lower pH so they must be buffered in digester slurry. </w:t>
      </w:r>
      <w:r w:rsidRPr="002367F4">
        <w:rPr>
          <w:rFonts w:asciiTheme="majorHAnsi" w:hAnsiTheme="majorHAnsi"/>
        </w:rPr>
        <w:t xml:space="preserve">Manure has low energy content, but possesses great buffering capacity and is therefore valuable feedstock (Callaghan et al., 2002; Hartmann &amp; Ahring, 2005). </w:t>
      </w:r>
      <w:r w:rsidR="00FC51B1">
        <w:rPr>
          <w:rFonts w:asciiTheme="majorHAnsi" w:hAnsiTheme="majorHAnsi"/>
        </w:rPr>
        <w:t>When feedstock contains sufficient manure its buffering capacity</w:t>
      </w:r>
      <w:r w:rsidR="0039069B">
        <w:rPr>
          <w:rFonts w:asciiTheme="majorHAnsi" w:hAnsiTheme="majorHAnsi"/>
        </w:rPr>
        <w:t xml:space="preserve"> maintains a steady neutral pH and stable AD process even as </w:t>
      </w:r>
      <w:r w:rsidR="009D51B7">
        <w:rPr>
          <w:rFonts w:asciiTheme="majorHAnsi" w:hAnsiTheme="majorHAnsi"/>
        </w:rPr>
        <w:t>high-energy feedstock material is added to the mix.</w:t>
      </w:r>
    </w:p>
    <w:p w14:paraId="04A7AB6D" w14:textId="77777777" w:rsidR="002367F4" w:rsidRPr="002367F4" w:rsidRDefault="002367F4" w:rsidP="002367F4">
      <w:pPr>
        <w:pStyle w:val="NoteLevel1"/>
        <w:rPr>
          <w:rFonts w:asciiTheme="majorHAnsi" w:hAnsiTheme="majorHAnsi"/>
        </w:rPr>
      </w:pPr>
    </w:p>
    <w:p w14:paraId="2F6836E9" w14:textId="4319D846" w:rsidR="002367F4" w:rsidRPr="002367F4" w:rsidRDefault="002367F4" w:rsidP="00907AFB">
      <w:pPr>
        <w:pStyle w:val="NoteLevel1"/>
        <w:numPr>
          <w:ilvl w:val="0"/>
          <w:numId w:val="0"/>
        </w:numPr>
        <w:rPr>
          <w:rFonts w:asciiTheme="majorHAnsi" w:hAnsiTheme="majorHAnsi"/>
        </w:rPr>
      </w:pPr>
      <w:r w:rsidRPr="002367F4">
        <w:rPr>
          <w:rFonts w:asciiTheme="majorHAnsi" w:hAnsiTheme="majorHAnsi"/>
        </w:rPr>
        <w:t xml:space="preserve">The </w:t>
      </w:r>
      <w:r w:rsidR="008E7047">
        <w:rPr>
          <w:rFonts w:asciiTheme="majorHAnsi" w:hAnsiTheme="majorHAnsi"/>
        </w:rPr>
        <w:t xml:space="preserve">Ripley </w:t>
      </w:r>
      <w:r w:rsidRPr="002367F4">
        <w:rPr>
          <w:rFonts w:asciiTheme="majorHAnsi" w:hAnsiTheme="majorHAnsi"/>
        </w:rPr>
        <w:t>ratio</w:t>
      </w:r>
      <w:r w:rsidR="009D51B7">
        <w:rPr>
          <w:rFonts w:asciiTheme="majorHAnsi" w:hAnsiTheme="majorHAnsi"/>
        </w:rPr>
        <w:t xml:space="preserve"> titration measures the ratio</w:t>
      </w:r>
      <w:r w:rsidRPr="002367F4">
        <w:rPr>
          <w:rFonts w:asciiTheme="majorHAnsi" w:hAnsiTheme="majorHAnsi"/>
        </w:rPr>
        <w:t xml:space="preserve"> of IA:PA</w:t>
      </w:r>
      <w:r w:rsidR="009D51B7">
        <w:rPr>
          <w:rFonts w:asciiTheme="majorHAnsi" w:hAnsiTheme="majorHAnsi"/>
        </w:rPr>
        <w:t xml:space="preserve"> and</w:t>
      </w:r>
      <w:r w:rsidRPr="002367F4">
        <w:rPr>
          <w:rFonts w:asciiTheme="majorHAnsi" w:hAnsiTheme="majorHAnsi"/>
        </w:rPr>
        <w:t xml:space="preserve"> </w:t>
      </w:r>
      <w:r w:rsidR="008E7047">
        <w:rPr>
          <w:rFonts w:asciiTheme="majorHAnsi" w:hAnsiTheme="majorHAnsi"/>
        </w:rPr>
        <w:t xml:space="preserve">approximates the ratio of VFA : </w:t>
      </w:r>
      <w:r w:rsidRPr="002367F4">
        <w:rPr>
          <w:rFonts w:asciiTheme="majorHAnsi" w:hAnsiTheme="majorHAnsi"/>
        </w:rPr>
        <w:t>alkalinity</w:t>
      </w:r>
      <w:r w:rsidR="000C234A">
        <w:rPr>
          <w:rFonts w:asciiTheme="majorHAnsi" w:hAnsiTheme="majorHAnsi"/>
        </w:rPr>
        <w:t xml:space="preserve">. </w:t>
      </w:r>
      <w:r w:rsidR="00DC262C">
        <w:rPr>
          <w:rFonts w:asciiTheme="majorHAnsi" w:hAnsiTheme="majorHAnsi"/>
        </w:rPr>
        <w:t>This ratio</w:t>
      </w:r>
      <w:r w:rsidR="00DC262C" w:rsidRPr="002367F4">
        <w:rPr>
          <w:rFonts w:asciiTheme="majorHAnsi" w:hAnsiTheme="majorHAnsi"/>
        </w:rPr>
        <w:t xml:space="preserve"> </w:t>
      </w:r>
      <w:r w:rsidR="00DC262C">
        <w:rPr>
          <w:rFonts w:asciiTheme="majorHAnsi" w:hAnsiTheme="majorHAnsi"/>
        </w:rPr>
        <w:t xml:space="preserve">is one of the simplest and most useful indicators of </w:t>
      </w:r>
      <w:r w:rsidR="00DC262C" w:rsidRPr="002367F4">
        <w:rPr>
          <w:rFonts w:asciiTheme="majorHAnsi" w:hAnsiTheme="majorHAnsi"/>
        </w:rPr>
        <w:t xml:space="preserve">AD </w:t>
      </w:r>
      <w:r w:rsidR="00DC262C">
        <w:rPr>
          <w:rFonts w:asciiTheme="majorHAnsi" w:hAnsiTheme="majorHAnsi"/>
        </w:rPr>
        <w:t xml:space="preserve">process </w:t>
      </w:r>
      <w:r w:rsidR="00DC262C" w:rsidRPr="002367F4">
        <w:rPr>
          <w:rFonts w:asciiTheme="majorHAnsi" w:hAnsiTheme="majorHAnsi"/>
        </w:rPr>
        <w:t>stability.</w:t>
      </w:r>
      <w:r w:rsidR="00DC262C">
        <w:rPr>
          <w:rFonts w:asciiTheme="majorHAnsi" w:hAnsiTheme="majorHAnsi"/>
        </w:rPr>
        <w:t xml:space="preserve"> In Germany the Ripley ratio is called ‘FOS/TAC’.  Titration is a laboratory method used to find the concentration of a solution when that solution is reacted with a second solution of known molarity. The two solutions must react with a known stoichiometry. To determine the Ripley ratio, a solution of sodium hydroxide with known molarity is used to titrate set volumes of the anaerobic digester slurries, dropping their pH values from roughly neutral through pH values of 5.7, 4.3 and 4.0.</w:t>
      </w:r>
      <w:r w:rsidR="00907AFB">
        <w:rPr>
          <w:rFonts w:asciiTheme="majorHAnsi" w:hAnsiTheme="majorHAnsi"/>
        </w:rPr>
        <w:t xml:space="preserve"> </w:t>
      </w:r>
      <w:r w:rsidR="00896CF1">
        <w:rPr>
          <w:rFonts w:asciiTheme="majorHAnsi" w:hAnsiTheme="majorHAnsi"/>
        </w:rPr>
        <w:t>The volume of base required to reach each pH value, or combination of pH values,</w:t>
      </w:r>
      <w:r w:rsidR="00DC262C">
        <w:rPr>
          <w:rFonts w:asciiTheme="majorHAnsi" w:hAnsiTheme="majorHAnsi"/>
        </w:rPr>
        <w:t xml:space="preserve"> is used to determine an alkalinity.</w:t>
      </w:r>
    </w:p>
    <w:p w14:paraId="4C0F58F8" w14:textId="77777777" w:rsidR="002367F4" w:rsidRPr="002367F4" w:rsidRDefault="002367F4" w:rsidP="002367F4">
      <w:pPr>
        <w:pStyle w:val="NoteLevel1"/>
        <w:rPr>
          <w:rFonts w:asciiTheme="majorHAnsi" w:hAnsiTheme="majorHAnsi"/>
        </w:rPr>
      </w:pPr>
    </w:p>
    <w:p w14:paraId="03D4F126" w14:textId="26A1EBDF" w:rsidR="00763686" w:rsidRDefault="00763686" w:rsidP="002367F4">
      <w:pPr>
        <w:pStyle w:val="NoteLevel1"/>
        <w:rPr>
          <w:rFonts w:asciiTheme="majorHAnsi" w:hAnsiTheme="majorHAnsi"/>
        </w:rPr>
      </w:pPr>
      <w:r w:rsidRPr="009C3046">
        <w:rPr>
          <w:rFonts w:asciiTheme="majorHAnsi" w:hAnsiTheme="majorHAnsi"/>
          <w:u w:val="single"/>
        </w:rPr>
        <w:t>Total alkalinity</w:t>
      </w:r>
      <w:r>
        <w:rPr>
          <w:rFonts w:asciiTheme="majorHAnsi" w:hAnsiTheme="majorHAnsi"/>
        </w:rPr>
        <w:t xml:space="preserve"> is a measured by titration through pH 4.0. </w:t>
      </w:r>
      <w:r w:rsidRPr="00501E55">
        <w:rPr>
          <w:rFonts w:asciiTheme="majorHAnsi" w:hAnsiTheme="majorHAnsi"/>
          <w:u w:val="single"/>
        </w:rPr>
        <w:t xml:space="preserve">Partial </w:t>
      </w:r>
      <w:r w:rsidR="009C3046" w:rsidRPr="00501E55">
        <w:rPr>
          <w:rFonts w:asciiTheme="majorHAnsi" w:hAnsiTheme="majorHAnsi"/>
          <w:u w:val="single"/>
        </w:rPr>
        <w:t>alkalinity</w:t>
      </w:r>
      <w:r w:rsidR="009C3046">
        <w:rPr>
          <w:rFonts w:asciiTheme="majorHAnsi" w:hAnsiTheme="majorHAnsi"/>
        </w:rPr>
        <w:t xml:space="preserve"> is determined by titration to pH 5.7 and is a measure of the bicarbonate alkalinity – or buffering </w:t>
      </w:r>
      <w:r w:rsidR="00907AFB">
        <w:rPr>
          <w:rFonts w:asciiTheme="majorHAnsi" w:hAnsiTheme="majorHAnsi"/>
        </w:rPr>
        <w:t>capacity</w:t>
      </w:r>
      <w:r w:rsidR="009C3046">
        <w:rPr>
          <w:rFonts w:asciiTheme="majorHAnsi" w:hAnsiTheme="majorHAnsi"/>
        </w:rPr>
        <w:t xml:space="preserve"> – of the slurry. </w:t>
      </w:r>
      <w:r w:rsidR="00907AFB">
        <w:rPr>
          <w:rFonts w:asciiTheme="majorHAnsi" w:hAnsiTheme="majorHAnsi"/>
        </w:rPr>
        <w:t>Bicarbonates deprotonate between pH 4.5 and 8.3</w:t>
      </w:r>
      <w:r w:rsidR="009C3046" w:rsidRPr="00501E55">
        <w:rPr>
          <w:rFonts w:asciiTheme="majorHAnsi" w:hAnsiTheme="majorHAnsi"/>
          <w:u w:val="single"/>
        </w:rPr>
        <w:t>Intermediate alkalinity</w:t>
      </w:r>
      <w:r w:rsidR="009C3046">
        <w:rPr>
          <w:rFonts w:asciiTheme="majorHAnsi" w:hAnsiTheme="majorHAnsi"/>
        </w:rPr>
        <w:t xml:space="preserve"> is determined by titration to pH 4.3 and approximates the amount of volatile fatty acids; VFAs </w:t>
      </w:r>
      <w:r w:rsidR="00501E55">
        <w:rPr>
          <w:rFonts w:asciiTheme="majorHAnsi" w:hAnsiTheme="majorHAnsi"/>
        </w:rPr>
        <w:t>are half-protonated at pH 4.3.</w:t>
      </w:r>
    </w:p>
    <w:p w14:paraId="2DD1A5FA" w14:textId="77777777" w:rsidR="0012568D" w:rsidRPr="00907AFB" w:rsidRDefault="0012568D" w:rsidP="00907AFB">
      <w:pPr>
        <w:pStyle w:val="NoteLevel1"/>
        <w:rPr>
          <w:rFonts w:asciiTheme="majorHAnsi" w:hAnsiTheme="majorHAnsi"/>
        </w:rPr>
      </w:pPr>
    </w:p>
    <w:p w14:paraId="6780EEA6" w14:textId="4A54B737" w:rsidR="0036514B" w:rsidRDefault="007E1999" w:rsidP="0012568D">
      <w:pPr>
        <w:pStyle w:val="NoteLevel1"/>
        <w:numPr>
          <w:ilvl w:val="0"/>
          <w:numId w:val="0"/>
        </w:numPr>
        <w:rPr>
          <w:rFonts w:asciiTheme="majorHAnsi" w:hAnsiTheme="majorHAnsi"/>
        </w:rPr>
      </w:pPr>
      <w:r>
        <w:rPr>
          <w:rFonts w:asciiTheme="majorHAnsi" w:hAnsiTheme="majorHAnsi"/>
        </w:rPr>
        <w:t xml:space="preserve">Generally, digester slurry (aka digestate) should have Ripley ratio values of 0.2 to 0.4. </w:t>
      </w:r>
      <w:r w:rsidR="00907AFB">
        <w:rPr>
          <w:rFonts w:asciiTheme="majorHAnsi" w:hAnsiTheme="majorHAnsi"/>
        </w:rPr>
        <w:t>Drosg</w:t>
      </w:r>
      <w:r w:rsidR="00B16C89">
        <w:rPr>
          <w:rFonts w:asciiTheme="majorHAnsi" w:hAnsiTheme="majorHAnsi"/>
        </w:rPr>
        <w:t xml:space="preserve"> (2013)</w:t>
      </w:r>
      <w:r w:rsidR="00907AFB">
        <w:rPr>
          <w:rFonts w:asciiTheme="majorHAnsi" w:hAnsiTheme="majorHAnsi"/>
        </w:rPr>
        <w:t xml:space="preserve"> cites 0.5 as a crisis value, but notes that healthy Ripley ratios must be determined empirically for each digester facility</w:t>
      </w:r>
      <w:r w:rsidR="00E2598D">
        <w:rPr>
          <w:rFonts w:asciiTheme="majorHAnsi" w:hAnsiTheme="majorHAnsi"/>
        </w:rPr>
        <w:t xml:space="preserve"> with its specific technology, diet and operational parameters.</w:t>
      </w:r>
      <w:r w:rsidR="00907AFB">
        <w:rPr>
          <w:rFonts w:asciiTheme="majorHAnsi" w:hAnsiTheme="majorHAnsi"/>
        </w:rPr>
        <w:t xml:space="preserve"> </w:t>
      </w:r>
      <w:r>
        <w:rPr>
          <w:rFonts w:asciiTheme="majorHAnsi" w:hAnsiTheme="majorHAnsi"/>
        </w:rPr>
        <w:t>Whe</w:t>
      </w:r>
      <w:r w:rsidR="00E2598D">
        <w:rPr>
          <w:rFonts w:asciiTheme="majorHAnsi" w:hAnsiTheme="majorHAnsi"/>
        </w:rPr>
        <w:t>n Ripley ratios climb above their healthy</w:t>
      </w:r>
      <w:r>
        <w:rPr>
          <w:rFonts w:asciiTheme="majorHAnsi" w:hAnsiTheme="majorHAnsi"/>
        </w:rPr>
        <w:t xml:space="preserve"> range</w:t>
      </w:r>
      <w:r w:rsidR="00E2598D">
        <w:rPr>
          <w:rFonts w:asciiTheme="majorHAnsi" w:hAnsiTheme="majorHAnsi"/>
        </w:rPr>
        <w:t xml:space="preserve"> of 0.2 to 0.4</w:t>
      </w:r>
      <w:r>
        <w:rPr>
          <w:rFonts w:asciiTheme="majorHAnsi" w:hAnsiTheme="majorHAnsi"/>
        </w:rPr>
        <w:t xml:space="preserve"> they indicate that the digestion process is in danger of becoming unstable.</w:t>
      </w:r>
      <w:r w:rsidR="0036514B">
        <w:rPr>
          <w:rFonts w:asciiTheme="majorHAnsi" w:hAnsiTheme="majorHAnsi"/>
        </w:rPr>
        <w:t xml:space="preserve"> This instability can result from a number of causes: 1) an overabundance of VFAs; 2) a lack of buffering capacity; or 3) some combination of the two.</w:t>
      </w:r>
      <w:r w:rsidR="00733CDD">
        <w:rPr>
          <w:rFonts w:asciiTheme="majorHAnsi" w:hAnsiTheme="majorHAnsi"/>
        </w:rPr>
        <w:t xml:space="preserve"> As the Ripley ratio rises, digester pH will fall, also indicative of this instability commonly referred to as a ‘sour’ digester. However, changes in Ripley ratios occur more rapidly than changes in pH and are therefore a better warning of instability.</w:t>
      </w:r>
    </w:p>
    <w:p w14:paraId="2ED98E47" w14:textId="77777777" w:rsidR="00733CDD" w:rsidRDefault="00733CDD" w:rsidP="0012568D">
      <w:pPr>
        <w:pStyle w:val="NoteLevel1"/>
        <w:numPr>
          <w:ilvl w:val="0"/>
          <w:numId w:val="0"/>
        </w:numPr>
        <w:rPr>
          <w:rFonts w:asciiTheme="majorHAnsi" w:hAnsiTheme="majorHAnsi"/>
        </w:rPr>
      </w:pPr>
    </w:p>
    <w:p w14:paraId="3B68C2AF" w14:textId="511679FA" w:rsidR="001F1F9F" w:rsidRPr="002367F4" w:rsidRDefault="001F1F9F" w:rsidP="0012568D">
      <w:pPr>
        <w:pStyle w:val="NoteLevel1"/>
        <w:numPr>
          <w:ilvl w:val="0"/>
          <w:numId w:val="0"/>
        </w:numPr>
        <w:rPr>
          <w:rFonts w:asciiTheme="majorHAnsi" w:hAnsiTheme="majorHAnsi"/>
        </w:rPr>
      </w:pPr>
      <w:r>
        <w:rPr>
          <w:rFonts w:asciiTheme="majorHAnsi" w:hAnsiTheme="majorHAnsi"/>
        </w:rPr>
        <w:t xml:space="preserve">VTCAD’s Solid Waste Management Facility Certification Plan requires weekly determination of Ripley ratios. The assay requires use of a laboratory fume hood and takes 2-4 hours </w:t>
      </w:r>
      <w:r w:rsidR="007B3CC3">
        <w:rPr>
          <w:rFonts w:asciiTheme="majorHAnsi" w:hAnsiTheme="majorHAnsi"/>
        </w:rPr>
        <w:t>to complete.</w:t>
      </w:r>
    </w:p>
    <w:p w14:paraId="7B4AE940" w14:textId="77777777" w:rsidR="001F1F9F" w:rsidRDefault="001F1F9F">
      <w:pPr>
        <w:rPr>
          <w:rFonts w:asciiTheme="majorHAnsi" w:hAnsiTheme="majorHAnsi"/>
          <w:b/>
        </w:rPr>
      </w:pPr>
      <w:r>
        <w:rPr>
          <w:rFonts w:asciiTheme="majorHAnsi" w:hAnsiTheme="majorHAnsi"/>
          <w:b/>
        </w:rPr>
        <w:br w:type="page"/>
      </w:r>
    </w:p>
    <w:p w14:paraId="54953BEA" w14:textId="4A2A158C" w:rsidR="00CA251D" w:rsidRDefault="00D354D4" w:rsidP="002367F4">
      <w:pPr>
        <w:pStyle w:val="NoteLevel1"/>
        <w:rPr>
          <w:rFonts w:asciiTheme="majorHAnsi" w:hAnsiTheme="majorHAnsi"/>
        </w:rPr>
      </w:pPr>
      <w:r>
        <w:rPr>
          <w:rFonts w:asciiTheme="majorHAnsi" w:hAnsiTheme="majorHAnsi"/>
          <w:b/>
        </w:rPr>
        <w:lastRenderedPageBreak/>
        <w:t>Equipment:</w:t>
      </w:r>
    </w:p>
    <w:p w14:paraId="7C286BFA" w14:textId="77777777" w:rsidR="00753834" w:rsidRPr="00251F11" w:rsidRDefault="00753834" w:rsidP="00CA251D">
      <w:pPr>
        <w:pStyle w:val="NoteLevel1"/>
        <w:numPr>
          <w:ilvl w:val="0"/>
          <w:numId w:val="5"/>
        </w:numPr>
        <w:rPr>
          <w:rFonts w:asciiTheme="majorHAnsi" w:hAnsiTheme="majorHAnsi"/>
        </w:rPr>
      </w:pPr>
      <w:r w:rsidRPr="00251F11">
        <w:rPr>
          <w:rFonts w:asciiTheme="majorHAnsi" w:hAnsiTheme="majorHAnsi"/>
        </w:rPr>
        <w:t xml:space="preserve">an automatic titration system; or </w:t>
      </w:r>
    </w:p>
    <w:p w14:paraId="35C34C35" w14:textId="77777777" w:rsidR="00CA251D" w:rsidRPr="00251F11" w:rsidRDefault="00753834" w:rsidP="00CA251D">
      <w:pPr>
        <w:pStyle w:val="NoteLevel1"/>
        <w:numPr>
          <w:ilvl w:val="0"/>
          <w:numId w:val="5"/>
        </w:numPr>
        <w:rPr>
          <w:rFonts w:asciiTheme="majorHAnsi" w:hAnsiTheme="majorHAnsi"/>
        </w:rPr>
      </w:pPr>
      <w:r w:rsidRPr="00251F11">
        <w:rPr>
          <w:rFonts w:asciiTheme="majorHAnsi" w:hAnsiTheme="majorHAnsi"/>
        </w:rPr>
        <w:t>burettes and stands,</w:t>
      </w:r>
    </w:p>
    <w:p w14:paraId="204F66CC" w14:textId="77777777" w:rsidR="00753834" w:rsidRPr="00251F11" w:rsidRDefault="00753834" w:rsidP="00CA251D">
      <w:pPr>
        <w:pStyle w:val="NoteLevel1"/>
        <w:numPr>
          <w:ilvl w:val="0"/>
          <w:numId w:val="5"/>
        </w:numPr>
        <w:rPr>
          <w:rFonts w:asciiTheme="majorHAnsi" w:hAnsiTheme="majorHAnsi"/>
        </w:rPr>
      </w:pPr>
      <w:r w:rsidRPr="00251F11">
        <w:rPr>
          <w:rFonts w:asciiTheme="majorHAnsi" w:hAnsiTheme="majorHAnsi"/>
        </w:rPr>
        <w:t>a pH probe and pH standards</w:t>
      </w:r>
    </w:p>
    <w:p w14:paraId="212755E9" w14:textId="77777777" w:rsidR="00753834" w:rsidRPr="00251F11" w:rsidRDefault="00753834" w:rsidP="00CA251D">
      <w:pPr>
        <w:pStyle w:val="NoteLevel1"/>
        <w:numPr>
          <w:ilvl w:val="0"/>
          <w:numId w:val="5"/>
        </w:numPr>
        <w:rPr>
          <w:rFonts w:asciiTheme="majorHAnsi" w:hAnsiTheme="majorHAnsi"/>
        </w:rPr>
      </w:pPr>
      <w:r w:rsidRPr="00251F11">
        <w:rPr>
          <w:rFonts w:asciiTheme="majorHAnsi" w:hAnsiTheme="majorHAnsi"/>
        </w:rPr>
        <w:t>a magnetic stir plate</w:t>
      </w:r>
    </w:p>
    <w:p w14:paraId="7D178F27" w14:textId="77777777" w:rsidR="00753834" w:rsidRDefault="00753834" w:rsidP="00CA251D">
      <w:pPr>
        <w:pStyle w:val="NoteLevel1"/>
        <w:numPr>
          <w:ilvl w:val="0"/>
          <w:numId w:val="5"/>
        </w:numPr>
        <w:rPr>
          <w:rFonts w:asciiTheme="majorHAnsi" w:hAnsiTheme="majorHAnsi"/>
        </w:rPr>
      </w:pPr>
      <w:r w:rsidRPr="00251F11">
        <w:rPr>
          <w:rFonts w:asciiTheme="majorHAnsi" w:hAnsiTheme="majorHAnsi"/>
        </w:rPr>
        <w:t xml:space="preserve">beakers </w:t>
      </w:r>
      <w:r w:rsidR="00251F11" w:rsidRPr="00251F11">
        <w:rPr>
          <w:rFonts w:asciiTheme="majorHAnsi" w:hAnsiTheme="majorHAnsi"/>
        </w:rPr>
        <w:t>&amp;</w:t>
      </w:r>
      <w:r w:rsidRPr="00251F11">
        <w:rPr>
          <w:rFonts w:asciiTheme="majorHAnsi" w:hAnsiTheme="majorHAnsi"/>
        </w:rPr>
        <w:t xml:space="preserve"> graduated cyli</w:t>
      </w:r>
      <w:r w:rsidR="00251F11" w:rsidRPr="00251F11">
        <w:rPr>
          <w:rFonts w:asciiTheme="majorHAnsi" w:hAnsiTheme="majorHAnsi"/>
        </w:rPr>
        <w:t>n</w:t>
      </w:r>
      <w:r w:rsidR="00251F11">
        <w:rPr>
          <w:rFonts w:asciiTheme="majorHAnsi" w:hAnsiTheme="majorHAnsi"/>
        </w:rPr>
        <w:t>d</w:t>
      </w:r>
      <w:r w:rsidR="00251F11" w:rsidRPr="00251F11">
        <w:rPr>
          <w:rFonts w:asciiTheme="majorHAnsi" w:hAnsiTheme="majorHAnsi"/>
        </w:rPr>
        <w:t>ers</w:t>
      </w:r>
    </w:p>
    <w:p w14:paraId="0635FC74" w14:textId="5ADA5A47" w:rsidR="00541E74" w:rsidRPr="00541E74" w:rsidRDefault="007B3CC3" w:rsidP="00541E74">
      <w:pPr>
        <w:pStyle w:val="NoteLevel1"/>
        <w:numPr>
          <w:ilvl w:val="0"/>
          <w:numId w:val="5"/>
        </w:numPr>
        <w:rPr>
          <w:rFonts w:asciiTheme="majorHAnsi" w:hAnsiTheme="majorHAnsi"/>
        </w:rPr>
      </w:pPr>
      <w:r>
        <w:rPr>
          <w:rFonts w:asciiTheme="majorHAnsi" w:hAnsiTheme="majorHAnsi"/>
        </w:rPr>
        <w:t>a laboratory fume hood</w:t>
      </w:r>
      <w:r w:rsidR="00541E74">
        <w:rPr>
          <w:rFonts w:asciiTheme="majorHAnsi" w:hAnsiTheme="majorHAnsi"/>
        </w:rPr>
        <w:t xml:space="preserve"> and a sink</w:t>
      </w:r>
    </w:p>
    <w:p w14:paraId="0BDBBE43" w14:textId="77777777" w:rsidR="002367F4" w:rsidRPr="002367F4" w:rsidRDefault="002367F4" w:rsidP="00251F11">
      <w:pPr>
        <w:pStyle w:val="NoteLevel1"/>
        <w:numPr>
          <w:ilvl w:val="0"/>
          <w:numId w:val="0"/>
        </w:numPr>
        <w:rPr>
          <w:rFonts w:asciiTheme="majorHAnsi" w:hAnsiTheme="majorHAnsi"/>
        </w:rPr>
      </w:pPr>
    </w:p>
    <w:p w14:paraId="081EC3D2" w14:textId="77777777" w:rsidR="002367F4" w:rsidRPr="002367F4" w:rsidRDefault="002367F4" w:rsidP="00251F11">
      <w:pPr>
        <w:pStyle w:val="NoteLevel1"/>
        <w:numPr>
          <w:ilvl w:val="0"/>
          <w:numId w:val="0"/>
        </w:numPr>
        <w:rPr>
          <w:rFonts w:asciiTheme="majorHAnsi" w:hAnsiTheme="majorHAnsi"/>
          <w:b/>
        </w:rPr>
      </w:pPr>
      <w:r w:rsidRPr="002367F4">
        <w:rPr>
          <w:rFonts w:asciiTheme="majorHAnsi" w:hAnsiTheme="majorHAnsi"/>
          <w:b/>
        </w:rPr>
        <w:t>Reagents:</w:t>
      </w:r>
    </w:p>
    <w:p w14:paraId="1F4AFA9A" w14:textId="77777777" w:rsidR="002367F4" w:rsidRPr="002367F4" w:rsidRDefault="002367F4" w:rsidP="00CA251D">
      <w:pPr>
        <w:pStyle w:val="NoteLevel1"/>
        <w:numPr>
          <w:ilvl w:val="0"/>
          <w:numId w:val="4"/>
        </w:numPr>
        <w:rPr>
          <w:rFonts w:asciiTheme="majorHAnsi" w:hAnsiTheme="majorHAnsi"/>
        </w:rPr>
      </w:pPr>
      <w:r w:rsidRPr="002367F4">
        <w:rPr>
          <w:rFonts w:asciiTheme="majorHAnsi" w:hAnsiTheme="majorHAnsi"/>
        </w:rPr>
        <w:t>pH standards: 4.0 &amp; 7.0</w:t>
      </w:r>
    </w:p>
    <w:p w14:paraId="1A7C98F9" w14:textId="06BDBA30" w:rsidR="002367F4" w:rsidRPr="002367F4" w:rsidRDefault="002367F4" w:rsidP="00CA251D">
      <w:pPr>
        <w:pStyle w:val="NoteLevel1"/>
        <w:numPr>
          <w:ilvl w:val="0"/>
          <w:numId w:val="4"/>
        </w:numPr>
        <w:rPr>
          <w:rFonts w:asciiTheme="majorHAnsi" w:hAnsiTheme="majorHAnsi"/>
        </w:rPr>
      </w:pPr>
      <w:r w:rsidRPr="002367F4">
        <w:rPr>
          <w:rFonts w:asciiTheme="majorHAnsi" w:hAnsiTheme="majorHAnsi"/>
        </w:rPr>
        <w:t xml:space="preserve">sulfuric acid titrant, 0.1 N: </w:t>
      </w:r>
      <w:r w:rsidR="00251F11">
        <w:rPr>
          <w:rFonts w:asciiTheme="majorHAnsi" w:hAnsiTheme="majorHAnsi"/>
        </w:rPr>
        <w:t>Make by diluting</w:t>
      </w:r>
      <w:r w:rsidRPr="002367F4">
        <w:rPr>
          <w:rFonts w:asciiTheme="majorHAnsi" w:hAnsiTheme="majorHAnsi"/>
        </w:rPr>
        <w:t xml:space="preserve"> 2.72 mL of concentrated H</w:t>
      </w:r>
      <w:r w:rsidRPr="00251F11">
        <w:rPr>
          <w:rFonts w:asciiTheme="majorHAnsi" w:hAnsiTheme="majorHAnsi"/>
          <w:sz w:val="24"/>
          <w:vertAlign w:val="subscript"/>
        </w:rPr>
        <w:t>2</w:t>
      </w:r>
      <w:r w:rsidRPr="002367F4">
        <w:rPr>
          <w:rFonts w:asciiTheme="majorHAnsi" w:hAnsiTheme="majorHAnsi"/>
        </w:rPr>
        <w:t>SO</w:t>
      </w:r>
      <w:r w:rsidRPr="00251F11">
        <w:rPr>
          <w:rFonts w:asciiTheme="majorHAnsi" w:hAnsiTheme="majorHAnsi"/>
          <w:sz w:val="24"/>
          <w:vertAlign w:val="subscript"/>
        </w:rPr>
        <w:t>4</w:t>
      </w:r>
      <w:r w:rsidR="00541E74">
        <w:rPr>
          <w:rFonts w:asciiTheme="majorHAnsi" w:hAnsiTheme="majorHAnsi"/>
        </w:rPr>
        <w:t xml:space="preserve"> to 1 L with </w:t>
      </w:r>
      <w:r w:rsidRPr="002367F4">
        <w:rPr>
          <w:rFonts w:asciiTheme="majorHAnsi" w:hAnsiTheme="majorHAnsi"/>
        </w:rPr>
        <w:t>d</w:t>
      </w:r>
      <w:r w:rsidR="00541E74">
        <w:rPr>
          <w:rFonts w:asciiTheme="majorHAnsi" w:hAnsiTheme="majorHAnsi"/>
        </w:rPr>
        <w:t xml:space="preserve">istilled, </w:t>
      </w:r>
      <w:r w:rsidRPr="002367F4">
        <w:rPr>
          <w:rFonts w:asciiTheme="majorHAnsi" w:hAnsiTheme="majorHAnsi"/>
        </w:rPr>
        <w:t>d</w:t>
      </w:r>
      <w:r w:rsidR="00541E74">
        <w:rPr>
          <w:rFonts w:asciiTheme="majorHAnsi" w:hAnsiTheme="majorHAnsi"/>
        </w:rPr>
        <w:t xml:space="preserve">eionized </w:t>
      </w:r>
      <w:r w:rsidRPr="002367F4">
        <w:rPr>
          <w:rFonts w:asciiTheme="majorHAnsi" w:hAnsiTheme="majorHAnsi"/>
        </w:rPr>
        <w:t>H</w:t>
      </w:r>
      <w:r w:rsidRPr="00541E74">
        <w:rPr>
          <w:rFonts w:asciiTheme="majorHAnsi" w:hAnsiTheme="majorHAnsi"/>
          <w:vertAlign w:val="subscript"/>
        </w:rPr>
        <w:t>2</w:t>
      </w:r>
      <w:r w:rsidRPr="002367F4">
        <w:rPr>
          <w:rFonts w:asciiTheme="majorHAnsi" w:hAnsiTheme="majorHAnsi"/>
        </w:rPr>
        <w:t>O</w:t>
      </w:r>
      <w:r w:rsidR="00541E74">
        <w:rPr>
          <w:rFonts w:asciiTheme="majorHAnsi" w:hAnsiTheme="majorHAnsi"/>
        </w:rPr>
        <w:t xml:space="preserve"> (ddH</w:t>
      </w:r>
      <w:r w:rsidR="00541E74" w:rsidRPr="00541E74">
        <w:rPr>
          <w:rFonts w:asciiTheme="majorHAnsi" w:hAnsiTheme="majorHAnsi"/>
          <w:vertAlign w:val="subscript"/>
        </w:rPr>
        <w:t>2</w:t>
      </w:r>
      <w:r w:rsidR="00541E74">
        <w:rPr>
          <w:rFonts w:asciiTheme="majorHAnsi" w:hAnsiTheme="majorHAnsi"/>
        </w:rPr>
        <w:t>O)</w:t>
      </w:r>
    </w:p>
    <w:p w14:paraId="390556AF" w14:textId="77777777" w:rsidR="002367F4" w:rsidRPr="002367F4" w:rsidRDefault="002367F4" w:rsidP="00251F11">
      <w:pPr>
        <w:pStyle w:val="NoteLevel1"/>
        <w:numPr>
          <w:ilvl w:val="0"/>
          <w:numId w:val="0"/>
        </w:numPr>
        <w:rPr>
          <w:rFonts w:asciiTheme="majorHAnsi" w:hAnsiTheme="majorHAnsi"/>
        </w:rPr>
      </w:pPr>
    </w:p>
    <w:p w14:paraId="2EC09CA4" w14:textId="569FE633" w:rsidR="009B073A" w:rsidRDefault="009B073A" w:rsidP="00251F11">
      <w:pPr>
        <w:pStyle w:val="NoteLevel1"/>
        <w:numPr>
          <w:ilvl w:val="0"/>
          <w:numId w:val="0"/>
        </w:numPr>
        <w:rPr>
          <w:rFonts w:asciiTheme="majorHAnsi" w:hAnsiTheme="majorHAnsi"/>
          <w:b/>
        </w:rPr>
      </w:pPr>
      <w:r>
        <w:rPr>
          <w:rFonts w:asciiTheme="majorHAnsi" w:hAnsiTheme="majorHAnsi"/>
          <w:b/>
        </w:rPr>
        <w:t>Calibration of pH probe:</w:t>
      </w:r>
    </w:p>
    <w:p w14:paraId="773EFD03" w14:textId="50001560" w:rsidR="00497955" w:rsidRDefault="00497955" w:rsidP="00497955">
      <w:pPr>
        <w:pStyle w:val="ListParagraph"/>
        <w:numPr>
          <w:ilvl w:val="0"/>
          <w:numId w:val="8"/>
        </w:numPr>
      </w:pPr>
      <w:r>
        <w:t xml:space="preserve">Plug the GLX into an electrical outlet for power and turn it on. </w:t>
      </w:r>
    </w:p>
    <w:p w14:paraId="6FCFE21C" w14:textId="63485C52" w:rsidR="00497955" w:rsidRDefault="00497955" w:rsidP="00497955">
      <w:pPr>
        <w:pStyle w:val="ListParagraph"/>
        <w:numPr>
          <w:ilvl w:val="0"/>
          <w:numId w:val="8"/>
        </w:numPr>
      </w:pPr>
      <w:r>
        <w:t>Plug the probe into the GLX if its not already secured.</w:t>
      </w:r>
      <w:r w:rsidR="00A36D5D">
        <w:t xml:space="preserve"> Set up a probe rinse beaker and squirt bottle.</w:t>
      </w:r>
    </w:p>
    <w:p w14:paraId="649ED45E" w14:textId="7EBD9205" w:rsidR="007672FF" w:rsidRDefault="008041EC" w:rsidP="008041EC">
      <w:pPr>
        <w:pStyle w:val="ListParagraph"/>
        <w:numPr>
          <w:ilvl w:val="0"/>
          <w:numId w:val="8"/>
        </w:numPr>
      </w:pPr>
      <w:r>
        <w:t>Press ‘home’ on the GLX;</w:t>
      </w:r>
    </w:p>
    <w:p w14:paraId="65027A71" w14:textId="77777777" w:rsidR="00611CC5" w:rsidRDefault="007672FF" w:rsidP="008041EC">
      <w:pPr>
        <w:pStyle w:val="ListParagraph"/>
        <w:numPr>
          <w:ilvl w:val="0"/>
          <w:numId w:val="8"/>
        </w:numPr>
      </w:pPr>
      <w:r>
        <w:t>Go to ‘digits’ and hit the center ‘check’ button twice</w:t>
      </w:r>
      <w:r w:rsidR="00611CC5">
        <w:t>;</w:t>
      </w:r>
    </w:p>
    <w:p w14:paraId="103952B7" w14:textId="77777777" w:rsidR="00611CC5" w:rsidRDefault="00611CC5" w:rsidP="008041EC">
      <w:pPr>
        <w:pStyle w:val="ListParagraph"/>
        <w:numPr>
          <w:ilvl w:val="0"/>
          <w:numId w:val="8"/>
        </w:numPr>
      </w:pPr>
      <w:r>
        <w:t>At ‘data properties’ go to ‘n</w:t>
      </w:r>
      <w:r w:rsidR="007672FF">
        <w:t>um</w:t>
      </w:r>
      <w:r>
        <w:t>ber of digits’;</w:t>
      </w:r>
    </w:p>
    <w:p w14:paraId="0C7B48E1" w14:textId="77777777" w:rsidR="00611CC5" w:rsidRDefault="00611CC5" w:rsidP="008041EC">
      <w:pPr>
        <w:pStyle w:val="ListParagraph"/>
        <w:numPr>
          <w:ilvl w:val="0"/>
          <w:numId w:val="8"/>
        </w:numPr>
      </w:pPr>
      <w:r>
        <w:t>H</w:t>
      </w:r>
      <w:r w:rsidR="007672FF">
        <w:t>it</w:t>
      </w:r>
      <w:r>
        <w:t xml:space="preserve"> the</w:t>
      </w:r>
      <w:r w:rsidR="007672FF">
        <w:t xml:space="preserve"> </w:t>
      </w:r>
      <w:r>
        <w:t>‘</w:t>
      </w:r>
      <w:r w:rsidR="007672FF">
        <w:t>check</w:t>
      </w:r>
      <w:r>
        <w:t>’ button</w:t>
      </w:r>
      <w:r w:rsidR="007672FF">
        <w:t xml:space="preserve"> to increase to 2</w:t>
      </w:r>
      <w:r>
        <w:t xml:space="preserve"> digits;</w:t>
      </w:r>
    </w:p>
    <w:p w14:paraId="331C3FD2" w14:textId="44876C02" w:rsidR="007672FF" w:rsidRDefault="00611CC5" w:rsidP="008041EC">
      <w:pPr>
        <w:pStyle w:val="ListParagraph"/>
        <w:numPr>
          <w:ilvl w:val="0"/>
          <w:numId w:val="8"/>
        </w:numPr>
      </w:pPr>
      <w:r>
        <w:t>Hit ‘</w:t>
      </w:r>
      <w:r w:rsidR="007672FF">
        <w:t>F1</w:t>
      </w:r>
      <w:r>
        <w:t>’ for</w:t>
      </w:r>
      <w:r w:rsidR="007672FF">
        <w:t xml:space="preserve"> OK</w:t>
      </w:r>
      <w:r>
        <w:t xml:space="preserve">; </w:t>
      </w:r>
    </w:p>
    <w:p w14:paraId="357E2CBF" w14:textId="6723EE35" w:rsidR="00611CC5" w:rsidRDefault="00611CC5" w:rsidP="008041EC">
      <w:pPr>
        <w:pStyle w:val="ListParagraph"/>
        <w:numPr>
          <w:ilvl w:val="0"/>
          <w:numId w:val="8"/>
        </w:numPr>
      </w:pPr>
      <w:r>
        <w:t>You should see a pH reading with hundreths (2 digits after the decimal</w:t>
      </w:r>
      <w:r w:rsidR="002C418A">
        <w:t>); but</w:t>
      </w:r>
    </w:p>
    <w:p w14:paraId="180DDEAA" w14:textId="1CB19BA0" w:rsidR="002C418A" w:rsidRDefault="002C418A" w:rsidP="008041EC">
      <w:pPr>
        <w:pStyle w:val="ListParagraph"/>
        <w:numPr>
          <w:ilvl w:val="0"/>
          <w:numId w:val="8"/>
        </w:numPr>
      </w:pPr>
      <w:r>
        <w:t>If this is not the case, start over; then</w:t>
      </w:r>
    </w:p>
    <w:p w14:paraId="687647E9" w14:textId="1BAC0CCF" w:rsidR="002C418A" w:rsidRDefault="002C418A" w:rsidP="008041EC">
      <w:pPr>
        <w:pStyle w:val="ListParagraph"/>
        <w:numPr>
          <w:ilvl w:val="0"/>
          <w:numId w:val="8"/>
        </w:numPr>
      </w:pPr>
      <w:r>
        <w:t>Press ‘home’;</w:t>
      </w:r>
    </w:p>
    <w:p w14:paraId="19B3A420" w14:textId="0D8490C9" w:rsidR="002C418A" w:rsidRDefault="001D731B" w:rsidP="008041EC">
      <w:pPr>
        <w:pStyle w:val="ListParagraph"/>
        <w:numPr>
          <w:ilvl w:val="0"/>
          <w:numId w:val="8"/>
        </w:numPr>
      </w:pPr>
      <w:r>
        <w:t>Hit F4 to get to ‘s</w:t>
      </w:r>
      <w:r w:rsidR="002C418A">
        <w:t>e</w:t>
      </w:r>
      <w:r>
        <w:t>n</w:t>
      </w:r>
      <w:r w:rsidR="002C418A">
        <w:t>sors’;</w:t>
      </w:r>
    </w:p>
    <w:p w14:paraId="4ECE06FF" w14:textId="682FE5C4" w:rsidR="002C418A" w:rsidRDefault="002C418A" w:rsidP="008041EC">
      <w:pPr>
        <w:pStyle w:val="ListParagraph"/>
        <w:numPr>
          <w:ilvl w:val="0"/>
          <w:numId w:val="8"/>
        </w:numPr>
      </w:pPr>
      <w:r>
        <w:t>Select 5 samples per second, smooth off, visible</w:t>
      </w:r>
      <w:r w:rsidR="001D731B">
        <w:t>;</w:t>
      </w:r>
    </w:p>
    <w:p w14:paraId="23C8C4BA" w14:textId="6C10C749" w:rsidR="001D731B" w:rsidRDefault="001D731B" w:rsidP="008041EC">
      <w:pPr>
        <w:pStyle w:val="ListParagraph"/>
        <w:numPr>
          <w:ilvl w:val="0"/>
          <w:numId w:val="8"/>
        </w:numPr>
      </w:pPr>
      <w:r>
        <w:t>Hit F4 for ‘sensors’;</w:t>
      </w:r>
    </w:p>
    <w:p w14:paraId="06EA782B" w14:textId="5671BE27" w:rsidR="001D731B" w:rsidRDefault="001D731B" w:rsidP="008041EC">
      <w:pPr>
        <w:pStyle w:val="ListParagraph"/>
        <w:numPr>
          <w:ilvl w:val="0"/>
          <w:numId w:val="8"/>
        </w:numPr>
      </w:pPr>
      <w:r>
        <w:t xml:space="preserve">Choose </w:t>
      </w:r>
      <w:r w:rsidR="00A36D5D">
        <w:t>‘</w:t>
      </w:r>
      <w:r>
        <w:t>calibrate</w:t>
      </w:r>
      <w:r w:rsidR="00A36D5D">
        <w:t>’ with 2-point calibration;</w:t>
      </w:r>
    </w:p>
    <w:p w14:paraId="37FBEAF6" w14:textId="39CD62DA" w:rsidR="00A36D5D" w:rsidRDefault="0009334B" w:rsidP="008041EC">
      <w:pPr>
        <w:pStyle w:val="ListParagraph"/>
        <w:numPr>
          <w:ilvl w:val="0"/>
          <w:numId w:val="8"/>
        </w:numPr>
      </w:pPr>
      <w:r>
        <w:t>Remove the probe from the storage solution and rinse with ddH</w:t>
      </w:r>
      <w:r w:rsidRPr="0009334B">
        <w:rPr>
          <w:vertAlign w:val="subscript"/>
        </w:rPr>
        <w:t>2</w:t>
      </w:r>
      <w:r>
        <w:t>O.</w:t>
      </w:r>
    </w:p>
    <w:p w14:paraId="175617D8" w14:textId="5ACE8024" w:rsidR="0009334B" w:rsidRDefault="0009334B" w:rsidP="008041EC">
      <w:pPr>
        <w:pStyle w:val="ListParagraph"/>
        <w:numPr>
          <w:ilvl w:val="0"/>
          <w:numId w:val="8"/>
        </w:numPr>
      </w:pPr>
      <w:r>
        <w:t xml:space="preserve">Place the probe into the pH 4.0 solution and wait for the number shown at the bottom right of the GLX screen to stabilize and then </w:t>
      </w:r>
      <w:r w:rsidR="00AB56E7">
        <w:t>press</w:t>
      </w:r>
      <w:r>
        <w:t xml:space="preserve"> </w:t>
      </w:r>
      <w:r w:rsidR="00AB56E7">
        <w:t>pt1.</w:t>
      </w:r>
    </w:p>
    <w:p w14:paraId="156F80A0" w14:textId="1058514D" w:rsidR="00AB56E7" w:rsidRDefault="00AB56E7" w:rsidP="008041EC">
      <w:pPr>
        <w:pStyle w:val="ListParagraph"/>
        <w:numPr>
          <w:ilvl w:val="0"/>
          <w:numId w:val="8"/>
        </w:numPr>
      </w:pPr>
      <w:r>
        <w:t>Rinse and repeat the calibration with the pH 10.0 standard solution, hitting pt2 when the reading stabilizes.</w:t>
      </w:r>
    </w:p>
    <w:p w14:paraId="3F16C390" w14:textId="67594706" w:rsidR="00AB56E7" w:rsidRDefault="00AB56E7" w:rsidP="008041EC">
      <w:pPr>
        <w:pStyle w:val="ListParagraph"/>
        <w:numPr>
          <w:ilvl w:val="0"/>
          <w:numId w:val="8"/>
        </w:numPr>
      </w:pPr>
      <w:r>
        <w:t>When calibration is complete, hit F1 (=OK).</w:t>
      </w:r>
    </w:p>
    <w:p w14:paraId="7FFC1CA6" w14:textId="77777777" w:rsidR="009B073A" w:rsidRDefault="009B073A" w:rsidP="009B073A"/>
    <w:p w14:paraId="1CDB4354" w14:textId="3E8AE26E" w:rsidR="002367F4" w:rsidRPr="002367F4" w:rsidRDefault="00AB56E7" w:rsidP="00251F11">
      <w:pPr>
        <w:pStyle w:val="NoteLevel1"/>
        <w:numPr>
          <w:ilvl w:val="0"/>
          <w:numId w:val="0"/>
        </w:numPr>
        <w:rPr>
          <w:rFonts w:asciiTheme="majorHAnsi" w:hAnsiTheme="majorHAnsi"/>
          <w:b/>
        </w:rPr>
      </w:pPr>
      <w:r>
        <w:rPr>
          <w:rFonts w:asciiTheme="majorHAnsi" w:hAnsiTheme="majorHAnsi"/>
          <w:b/>
        </w:rPr>
        <w:t>Ripley titration p</w:t>
      </w:r>
      <w:r w:rsidR="002367F4" w:rsidRPr="002367F4">
        <w:rPr>
          <w:rFonts w:asciiTheme="majorHAnsi" w:hAnsiTheme="majorHAnsi"/>
          <w:b/>
        </w:rPr>
        <w:t>rotocol:</w:t>
      </w:r>
    </w:p>
    <w:p w14:paraId="4DB77906" w14:textId="66B61632" w:rsidR="009B23D4" w:rsidRDefault="009B23D4" w:rsidP="00D67A0D">
      <w:pPr>
        <w:pStyle w:val="NoteLevel1"/>
        <w:numPr>
          <w:ilvl w:val="0"/>
          <w:numId w:val="6"/>
        </w:numPr>
        <w:rPr>
          <w:rFonts w:asciiTheme="majorHAnsi" w:hAnsiTheme="majorHAnsi"/>
        </w:rPr>
      </w:pPr>
      <w:r>
        <w:rPr>
          <w:rFonts w:asciiTheme="majorHAnsi" w:hAnsiTheme="majorHAnsi"/>
        </w:rPr>
        <w:t>Set up a 50-mL buret in a buret stand, close the s</w:t>
      </w:r>
      <w:r w:rsidR="000504C1">
        <w:rPr>
          <w:rFonts w:asciiTheme="majorHAnsi" w:hAnsiTheme="majorHAnsi"/>
        </w:rPr>
        <w:t>topcock and fill with 0.1 N H</w:t>
      </w:r>
      <w:r w:rsidR="000504C1" w:rsidRPr="000504C1">
        <w:rPr>
          <w:rFonts w:asciiTheme="majorHAnsi" w:hAnsiTheme="majorHAnsi"/>
          <w:vertAlign w:val="subscript"/>
        </w:rPr>
        <w:t>2</w:t>
      </w:r>
      <w:r w:rsidR="000504C1">
        <w:rPr>
          <w:rFonts w:asciiTheme="majorHAnsi" w:hAnsiTheme="majorHAnsi"/>
        </w:rPr>
        <w:t>SO</w:t>
      </w:r>
      <w:r w:rsidR="000504C1" w:rsidRPr="000504C1">
        <w:rPr>
          <w:rFonts w:asciiTheme="majorHAnsi" w:hAnsiTheme="majorHAnsi"/>
          <w:vertAlign w:val="subscript"/>
        </w:rPr>
        <w:t>4</w:t>
      </w:r>
      <w:r>
        <w:rPr>
          <w:rFonts w:asciiTheme="majorHAnsi" w:hAnsiTheme="majorHAnsi"/>
        </w:rPr>
        <w:t xml:space="preserve"> solution. Bleed down to the 0.0 mL line, or any easy starting volume.</w:t>
      </w:r>
    </w:p>
    <w:p w14:paraId="3D0F10D8" w14:textId="06061533" w:rsidR="009B23D4" w:rsidRDefault="009B23D4" w:rsidP="00D67A0D">
      <w:pPr>
        <w:pStyle w:val="NoteLevel1"/>
        <w:numPr>
          <w:ilvl w:val="0"/>
          <w:numId w:val="6"/>
        </w:numPr>
        <w:rPr>
          <w:rFonts w:asciiTheme="majorHAnsi" w:hAnsiTheme="majorHAnsi"/>
        </w:rPr>
      </w:pPr>
      <w:r>
        <w:rPr>
          <w:rFonts w:asciiTheme="majorHAnsi" w:hAnsiTheme="majorHAnsi"/>
        </w:rPr>
        <w:t>Place a stir plate below the buret and adjust the buret so that a small beaker will fit beneath it.</w:t>
      </w:r>
    </w:p>
    <w:p w14:paraId="12AAB240" w14:textId="6F2C0004" w:rsidR="009B23D4" w:rsidRDefault="006759F2" w:rsidP="00D67A0D">
      <w:pPr>
        <w:pStyle w:val="NoteLevel1"/>
        <w:numPr>
          <w:ilvl w:val="0"/>
          <w:numId w:val="6"/>
        </w:numPr>
        <w:rPr>
          <w:rFonts w:asciiTheme="majorHAnsi" w:hAnsiTheme="majorHAnsi"/>
        </w:rPr>
      </w:pPr>
      <w:r>
        <w:rPr>
          <w:rFonts w:asciiTheme="majorHAnsi" w:hAnsiTheme="majorHAnsi"/>
        </w:rPr>
        <w:t>Arrange the pH probe so that its cord will drape over the buret clamp.</w:t>
      </w:r>
      <w:r>
        <w:rPr>
          <w:rFonts w:asciiTheme="majorHAnsi" w:hAnsiTheme="majorHAnsi"/>
        </w:rPr>
        <w:tab/>
      </w:r>
    </w:p>
    <w:p w14:paraId="3D82F7A8" w14:textId="4E90E487" w:rsidR="002367F4" w:rsidRPr="002367F4" w:rsidRDefault="001C1348" w:rsidP="00D67A0D">
      <w:pPr>
        <w:pStyle w:val="NoteLevel1"/>
        <w:numPr>
          <w:ilvl w:val="0"/>
          <w:numId w:val="6"/>
        </w:numPr>
        <w:rPr>
          <w:rFonts w:asciiTheme="majorHAnsi" w:hAnsiTheme="majorHAnsi"/>
        </w:rPr>
      </w:pPr>
      <w:r>
        <w:rPr>
          <w:rFonts w:asciiTheme="majorHAnsi" w:hAnsiTheme="majorHAnsi"/>
        </w:rPr>
        <w:t xml:space="preserve">Gently invert the sample bottles of digester slurry and pour 50 mL into a graduated cylinder. Transfer </w:t>
      </w:r>
      <w:r w:rsidR="00074878">
        <w:rPr>
          <w:rFonts w:asciiTheme="majorHAnsi" w:hAnsiTheme="majorHAnsi"/>
        </w:rPr>
        <w:t xml:space="preserve">the sample </w:t>
      </w:r>
      <w:r w:rsidR="002367F4" w:rsidRPr="002367F4">
        <w:rPr>
          <w:rFonts w:asciiTheme="majorHAnsi" w:hAnsiTheme="majorHAnsi"/>
        </w:rPr>
        <w:t xml:space="preserve">into a beaker with a stir bar. </w:t>
      </w:r>
      <w:r w:rsidR="00074878">
        <w:rPr>
          <w:rFonts w:asciiTheme="majorHAnsi" w:hAnsiTheme="majorHAnsi"/>
        </w:rPr>
        <w:br/>
      </w:r>
      <w:r w:rsidR="002367F4" w:rsidRPr="002367F4">
        <w:rPr>
          <w:rFonts w:asciiTheme="majorHAnsi" w:hAnsiTheme="majorHAnsi"/>
        </w:rPr>
        <w:t xml:space="preserve">[NB: </w:t>
      </w:r>
      <w:r w:rsidR="00074878">
        <w:rPr>
          <w:rFonts w:asciiTheme="majorHAnsi" w:hAnsiTheme="majorHAnsi"/>
        </w:rPr>
        <w:t>For easiest titration the</w:t>
      </w:r>
      <w:r w:rsidR="002367F4" w:rsidRPr="002367F4">
        <w:rPr>
          <w:rFonts w:asciiTheme="majorHAnsi" w:hAnsiTheme="majorHAnsi"/>
        </w:rPr>
        <w:t xml:space="preserve"> sample must be homogeneous; use a blender stick</w:t>
      </w:r>
      <w:r w:rsidR="00180138">
        <w:rPr>
          <w:rFonts w:asciiTheme="majorHAnsi" w:hAnsiTheme="majorHAnsi"/>
        </w:rPr>
        <w:t xml:space="preserve"> or centrif</w:t>
      </w:r>
      <w:r w:rsidR="00074878">
        <w:rPr>
          <w:rFonts w:asciiTheme="majorHAnsi" w:hAnsiTheme="majorHAnsi"/>
        </w:rPr>
        <w:t>uge.</w:t>
      </w:r>
      <w:r>
        <w:rPr>
          <w:rFonts w:asciiTheme="majorHAnsi" w:hAnsiTheme="majorHAnsi"/>
        </w:rPr>
        <w:t xml:space="preserve"> Otherwise, use tweezers or a scoopula to remove big chunks or fibers that float to the top and would lodge in the pH probe.]</w:t>
      </w:r>
    </w:p>
    <w:p w14:paraId="604DD58D" w14:textId="77777777" w:rsidR="00093872" w:rsidRDefault="009B23D4" w:rsidP="00D67A0D">
      <w:pPr>
        <w:pStyle w:val="NoteLevel1"/>
        <w:numPr>
          <w:ilvl w:val="0"/>
          <w:numId w:val="6"/>
        </w:numPr>
        <w:rPr>
          <w:rFonts w:asciiTheme="majorHAnsi" w:hAnsiTheme="majorHAnsi"/>
        </w:rPr>
      </w:pPr>
      <w:r>
        <w:rPr>
          <w:rFonts w:asciiTheme="majorHAnsi" w:hAnsiTheme="majorHAnsi"/>
        </w:rPr>
        <w:t>Place the beaker on a stir plate and s</w:t>
      </w:r>
      <w:r w:rsidR="002367F4" w:rsidRPr="002367F4">
        <w:rPr>
          <w:rFonts w:asciiTheme="majorHAnsi" w:hAnsiTheme="majorHAnsi"/>
        </w:rPr>
        <w:t>tir the sample at moderate speed</w:t>
      </w:r>
      <w:r>
        <w:rPr>
          <w:rFonts w:asciiTheme="majorHAnsi" w:hAnsiTheme="majorHAnsi"/>
        </w:rPr>
        <w:t>.</w:t>
      </w:r>
      <w:r w:rsidR="00093872">
        <w:rPr>
          <w:rFonts w:asciiTheme="majorHAnsi" w:hAnsiTheme="majorHAnsi"/>
        </w:rPr>
        <w:t xml:space="preserve"> </w:t>
      </w:r>
    </w:p>
    <w:p w14:paraId="6463BC8C" w14:textId="647B7CD9" w:rsidR="002367F4" w:rsidRPr="002367F4" w:rsidRDefault="00093872" w:rsidP="00D67A0D">
      <w:pPr>
        <w:pStyle w:val="NoteLevel1"/>
        <w:numPr>
          <w:ilvl w:val="0"/>
          <w:numId w:val="6"/>
        </w:numPr>
        <w:rPr>
          <w:rFonts w:asciiTheme="majorHAnsi" w:hAnsiTheme="majorHAnsi"/>
        </w:rPr>
      </w:pPr>
      <w:r>
        <w:rPr>
          <w:rFonts w:asciiTheme="majorHAnsi" w:hAnsiTheme="majorHAnsi"/>
        </w:rPr>
        <w:t>I</w:t>
      </w:r>
      <w:r w:rsidR="002367F4" w:rsidRPr="002367F4">
        <w:rPr>
          <w:rFonts w:asciiTheme="majorHAnsi" w:hAnsiTheme="majorHAnsi"/>
        </w:rPr>
        <w:t xml:space="preserve">nsert the pH probe until </w:t>
      </w:r>
      <w:r>
        <w:rPr>
          <w:rFonts w:asciiTheme="majorHAnsi" w:hAnsiTheme="majorHAnsi"/>
        </w:rPr>
        <w:t xml:space="preserve">the lower third is covered and is away from and not being hit by the stir bar. </w:t>
      </w:r>
      <w:r w:rsidR="00B16C89">
        <w:rPr>
          <w:rFonts w:asciiTheme="majorHAnsi" w:hAnsiTheme="majorHAnsi"/>
        </w:rPr>
        <w:t>Clamp the probe wire to keep the probe’s position stable.</w:t>
      </w:r>
    </w:p>
    <w:p w14:paraId="614542DD" w14:textId="4E0FAC60" w:rsidR="002367F4" w:rsidRPr="002367F4" w:rsidRDefault="002367F4" w:rsidP="00D67A0D">
      <w:pPr>
        <w:pStyle w:val="NoteLevel1"/>
        <w:numPr>
          <w:ilvl w:val="0"/>
          <w:numId w:val="6"/>
        </w:numPr>
        <w:rPr>
          <w:rFonts w:asciiTheme="majorHAnsi" w:hAnsiTheme="majorHAnsi"/>
        </w:rPr>
      </w:pPr>
      <w:r w:rsidRPr="002367F4">
        <w:rPr>
          <w:rFonts w:asciiTheme="majorHAnsi" w:hAnsiTheme="majorHAnsi"/>
        </w:rPr>
        <w:t>Record</w:t>
      </w:r>
      <w:r w:rsidR="00B16C89">
        <w:rPr>
          <w:rFonts w:asciiTheme="majorHAnsi" w:hAnsiTheme="majorHAnsi"/>
        </w:rPr>
        <w:t xml:space="preserve"> the</w:t>
      </w:r>
      <w:r w:rsidRPr="002367F4">
        <w:rPr>
          <w:rFonts w:asciiTheme="majorHAnsi" w:hAnsiTheme="majorHAnsi"/>
        </w:rPr>
        <w:t xml:space="preserve"> initial pH value</w:t>
      </w:r>
      <w:r w:rsidR="00B16C89">
        <w:rPr>
          <w:rFonts w:asciiTheme="majorHAnsi" w:hAnsiTheme="majorHAnsi"/>
        </w:rPr>
        <w:t xml:space="preserve"> of the slurry</w:t>
      </w:r>
      <w:r w:rsidRPr="002367F4">
        <w:rPr>
          <w:rFonts w:asciiTheme="majorHAnsi" w:hAnsiTheme="majorHAnsi"/>
        </w:rPr>
        <w:t>.</w:t>
      </w:r>
    </w:p>
    <w:p w14:paraId="392309BA" w14:textId="7D77084B" w:rsidR="002367F4" w:rsidRPr="002367F4" w:rsidRDefault="00180138" w:rsidP="00D67A0D">
      <w:pPr>
        <w:pStyle w:val="NoteLevel1"/>
        <w:numPr>
          <w:ilvl w:val="0"/>
          <w:numId w:val="6"/>
        </w:numPr>
        <w:rPr>
          <w:rFonts w:asciiTheme="majorHAnsi" w:hAnsiTheme="majorHAnsi"/>
        </w:rPr>
      </w:pPr>
      <w:r>
        <w:rPr>
          <w:rFonts w:asciiTheme="majorHAnsi" w:hAnsiTheme="majorHAnsi"/>
        </w:rPr>
        <w:t>Titrate the slurry t</w:t>
      </w:r>
      <w:r w:rsidR="002367F4" w:rsidRPr="002367F4">
        <w:rPr>
          <w:rFonts w:asciiTheme="majorHAnsi" w:hAnsiTheme="majorHAnsi"/>
        </w:rPr>
        <w:t xml:space="preserve">o pH 5.7 </w:t>
      </w:r>
      <w:r>
        <w:rPr>
          <w:rFonts w:asciiTheme="majorHAnsi" w:hAnsiTheme="majorHAnsi"/>
        </w:rPr>
        <w:t>with 0.1 N H</w:t>
      </w:r>
      <w:r w:rsidRPr="00180138">
        <w:rPr>
          <w:rFonts w:asciiTheme="majorHAnsi" w:hAnsiTheme="majorHAnsi"/>
          <w:sz w:val="24"/>
          <w:vertAlign w:val="subscript"/>
        </w:rPr>
        <w:t>2</w:t>
      </w:r>
      <w:r>
        <w:rPr>
          <w:rFonts w:asciiTheme="majorHAnsi" w:hAnsiTheme="majorHAnsi"/>
        </w:rPr>
        <w:t>SO</w:t>
      </w:r>
      <w:r w:rsidRPr="00180138">
        <w:rPr>
          <w:rFonts w:asciiTheme="majorHAnsi" w:hAnsiTheme="majorHAnsi"/>
          <w:sz w:val="24"/>
          <w:vertAlign w:val="subscript"/>
        </w:rPr>
        <w:t>4</w:t>
      </w:r>
      <w:r>
        <w:rPr>
          <w:rFonts w:asciiTheme="majorHAnsi" w:hAnsiTheme="majorHAnsi"/>
        </w:rPr>
        <w:t xml:space="preserve"> </w:t>
      </w:r>
      <w:r w:rsidR="007D7927">
        <w:rPr>
          <w:rFonts w:asciiTheme="majorHAnsi" w:hAnsiTheme="majorHAnsi"/>
        </w:rPr>
        <w:t>and</w:t>
      </w:r>
      <w:r w:rsidR="002367F4" w:rsidRPr="002367F4">
        <w:rPr>
          <w:rFonts w:asciiTheme="majorHAnsi" w:hAnsiTheme="majorHAnsi"/>
        </w:rPr>
        <w:t xml:space="preserve"> record the volume</w:t>
      </w:r>
      <w:r>
        <w:rPr>
          <w:rFonts w:asciiTheme="majorHAnsi" w:hAnsiTheme="majorHAnsi"/>
        </w:rPr>
        <w:t xml:space="preserve"> used exactly as ‘V5.7’.</w:t>
      </w:r>
      <w:r w:rsidR="007D7927">
        <w:rPr>
          <w:rFonts w:asciiTheme="majorHAnsi" w:hAnsiTheme="majorHAnsi"/>
        </w:rPr>
        <w:t xml:space="preserve"> </w:t>
      </w:r>
      <w:r w:rsidR="00DB67A4">
        <w:rPr>
          <w:rFonts w:asciiTheme="majorHAnsi" w:hAnsiTheme="majorHAnsi"/>
        </w:rPr>
        <w:t xml:space="preserve">Note that it’s worth going slowly during the first trial to avoid missing the endpoint. The second and third trials will go more quickly as </w:t>
      </w:r>
      <w:r w:rsidR="003A170A">
        <w:rPr>
          <w:rFonts w:asciiTheme="majorHAnsi" w:hAnsiTheme="majorHAnsi"/>
        </w:rPr>
        <w:t>the first 80% of required acid volume can be added quickly without fear of overshooting the pH target.</w:t>
      </w:r>
      <w:r w:rsidR="00885C4F">
        <w:rPr>
          <w:rFonts w:asciiTheme="majorHAnsi" w:hAnsiTheme="majorHAnsi"/>
        </w:rPr>
        <w:t xml:space="preserve">                                                                                                                                                                                                                                                                                                                                                                                                                                                                                                                                                                             </w:t>
      </w:r>
    </w:p>
    <w:p w14:paraId="1038FE90" w14:textId="7477CBCB" w:rsidR="002367F4" w:rsidRPr="002367F4" w:rsidRDefault="002367F4" w:rsidP="00D67A0D">
      <w:pPr>
        <w:pStyle w:val="NoteLevel1"/>
        <w:numPr>
          <w:ilvl w:val="0"/>
          <w:numId w:val="6"/>
        </w:numPr>
        <w:rPr>
          <w:rFonts w:asciiTheme="majorHAnsi" w:hAnsiTheme="majorHAnsi"/>
        </w:rPr>
      </w:pPr>
      <w:r w:rsidRPr="002367F4">
        <w:rPr>
          <w:rFonts w:asciiTheme="majorHAnsi" w:hAnsiTheme="majorHAnsi"/>
        </w:rPr>
        <w:t xml:space="preserve">Titrate </w:t>
      </w:r>
      <w:r w:rsidR="00180138">
        <w:rPr>
          <w:rFonts w:asciiTheme="majorHAnsi" w:hAnsiTheme="majorHAnsi"/>
        </w:rPr>
        <w:t xml:space="preserve">the slurry </w:t>
      </w:r>
      <w:r w:rsidRPr="002367F4">
        <w:rPr>
          <w:rFonts w:asciiTheme="majorHAnsi" w:hAnsiTheme="majorHAnsi"/>
        </w:rPr>
        <w:t xml:space="preserve">to pH 4.3 </w:t>
      </w:r>
      <w:r w:rsidR="00180138">
        <w:rPr>
          <w:rFonts w:asciiTheme="majorHAnsi" w:hAnsiTheme="majorHAnsi"/>
        </w:rPr>
        <w:t>with 0.1 N H</w:t>
      </w:r>
      <w:r w:rsidR="00180138" w:rsidRPr="00180138">
        <w:rPr>
          <w:rFonts w:asciiTheme="majorHAnsi" w:hAnsiTheme="majorHAnsi"/>
          <w:sz w:val="24"/>
          <w:vertAlign w:val="subscript"/>
        </w:rPr>
        <w:t>2</w:t>
      </w:r>
      <w:r w:rsidR="00180138">
        <w:rPr>
          <w:rFonts w:asciiTheme="majorHAnsi" w:hAnsiTheme="majorHAnsi"/>
        </w:rPr>
        <w:t>SO</w:t>
      </w:r>
      <w:r w:rsidR="00180138" w:rsidRPr="00180138">
        <w:rPr>
          <w:rFonts w:asciiTheme="majorHAnsi" w:hAnsiTheme="majorHAnsi"/>
          <w:sz w:val="24"/>
          <w:vertAlign w:val="subscript"/>
        </w:rPr>
        <w:t>4</w:t>
      </w:r>
      <w:r w:rsidR="00180138">
        <w:rPr>
          <w:rFonts w:asciiTheme="majorHAnsi" w:hAnsiTheme="majorHAnsi"/>
        </w:rPr>
        <w:t xml:space="preserve"> </w:t>
      </w:r>
      <w:r w:rsidR="007D7927">
        <w:rPr>
          <w:rFonts w:asciiTheme="majorHAnsi" w:hAnsiTheme="majorHAnsi"/>
        </w:rPr>
        <w:t>and</w:t>
      </w:r>
      <w:r w:rsidRPr="002367F4">
        <w:rPr>
          <w:rFonts w:asciiTheme="majorHAnsi" w:hAnsiTheme="majorHAnsi"/>
        </w:rPr>
        <w:t xml:space="preserve"> record the volume</w:t>
      </w:r>
      <w:r w:rsidR="00180138">
        <w:rPr>
          <w:rFonts w:asciiTheme="majorHAnsi" w:hAnsiTheme="majorHAnsi"/>
        </w:rPr>
        <w:t xml:space="preserve"> used exactly as ‘V4.3’</w:t>
      </w:r>
      <w:r w:rsidRPr="002367F4">
        <w:rPr>
          <w:rFonts w:asciiTheme="majorHAnsi" w:hAnsiTheme="majorHAnsi"/>
        </w:rPr>
        <w:t>.</w:t>
      </w:r>
    </w:p>
    <w:p w14:paraId="758A938E" w14:textId="449E1466" w:rsidR="002367F4" w:rsidRPr="002367F4" w:rsidRDefault="002367F4" w:rsidP="00D67A0D">
      <w:pPr>
        <w:pStyle w:val="NoteLevel1"/>
        <w:numPr>
          <w:ilvl w:val="0"/>
          <w:numId w:val="7"/>
        </w:numPr>
        <w:rPr>
          <w:rFonts w:asciiTheme="majorHAnsi" w:hAnsiTheme="majorHAnsi"/>
        </w:rPr>
      </w:pPr>
      <w:r w:rsidRPr="002367F4">
        <w:rPr>
          <w:rFonts w:asciiTheme="majorHAnsi" w:hAnsiTheme="majorHAnsi"/>
        </w:rPr>
        <w:t xml:space="preserve">Titrate to </w:t>
      </w:r>
      <w:r w:rsidR="00FC72D3">
        <w:rPr>
          <w:rFonts w:asciiTheme="majorHAnsi" w:hAnsiTheme="majorHAnsi"/>
        </w:rPr>
        <w:t xml:space="preserve">the sample to </w:t>
      </w:r>
      <w:r w:rsidRPr="002367F4">
        <w:rPr>
          <w:rFonts w:asciiTheme="majorHAnsi" w:hAnsiTheme="majorHAnsi"/>
        </w:rPr>
        <w:t xml:space="preserve">pH 4.0 </w:t>
      </w:r>
      <w:r w:rsidR="00FC72D3">
        <w:rPr>
          <w:rFonts w:asciiTheme="majorHAnsi" w:hAnsiTheme="majorHAnsi"/>
        </w:rPr>
        <w:t>with 0.1 N H</w:t>
      </w:r>
      <w:r w:rsidR="00FC72D3" w:rsidRPr="007D7927">
        <w:rPr>
          <w:rFonts w:asciiTheme="majorHAnsi" w:hAnsiTheme="majorHAnsi"/>
          <w:vertAlign w:val="subscript"/>
        </w:rPr>
        <w:t>2</w:t>
      </w:r>
      <w:r w:rsidR="00FC72D3">
        <w:rPr>
          <w:rFonts w:asciiTheme="majorHAnsi" w:hAnsiTheme="majorHAnsi"/>
        </w:rPr>
        <w:t>SO</w:t>
      </w:r>
      <w:r w:rsidR="00FC72D3" w:rsidRPr="007D7927">
        <w:rPr>
          <w:rFonts w:asciiTheme="majorHAnsi" w:hAnsiTheme="majorHAnsi"/>
          <w:vertAlign w:val="subscript"/>
        </w:rPr>
        <w:t>4</w:t>
      </w:r>
      <w:r w:rsidR="00FC72D3">
        <w:rPr>
          <w:rFonts w:asciiTheme="majorHAnsi" w:hAnsiTheme="majorHAnsi"/>
        </w:rPr>
        <w:t xml:space="preserve"> </w:t>
      </w:r>
      <w:r w:rsidR="007D7927">
        <w:rPr>
          <w:rFonts w:asciiTheme="majorHAnsi" w:hAnsiTheme="majorHAnsi"/>
        </w:rPr>
        <w:t>and</w:t>
      </w:r>
      <w:r w:rsidRPr="002367F4">
        <w:rPr>
          <w:rFonts w:asciiTheme="majorHAnsi" w:hAnsiTheme="majorHAnsi"/>
        </w:rPr>
        <w:t xml:space="preserve"> record the volume</w:t>
      </w:r>
      <w:r w:rsidR="00FC72D3">
        <w:rPr>
          <w:rFonts w:asciiTheme="majorHAnsi" w:hAnsiTheme="majorHAnsi"/>
        </w:rPr>
        <w:t xml:space="preserve"> of acid exactly as   ‘V4.0’</w:t>
      </w:r>
      <w:r w:rsidRPr="002367F4">
        <w:rPr>
          <w:rFonts w:asciiTheme="majorHAnsi" w:hAnsiTheme="majorHAnsi"/>
        </w:rPr>
        <w:t>.</w:t>
      </w:r>
    </w:p>
    <w:p w14:paraId="604BA618" w14:textId="24073D56" w:rsidR="002367F4" w:rsidRPr="002367F4" w:rsidRDefault="002367F4" w:rsidP="00D67A0D">
      <w:pPr>
        <w:pStyle w:val="NoteLevel1"/>
        <w:numPr>
          <w:ilvl w:val="0"/>
          <w:numId w:val="7"/>
        </w:numPr>
        <w:rPr>
          <w:rFonts w:asciiTheme="majorHAnsi" w:hAnsiTheme="majorHAnsi"/>
        </w:rPr>
      </w:pPr>
      <w:r w:rsidRPr="002367F4">
        <w:rPr>
          <w:rFonts w:asciiTheme="majorHAnsi" w:hAnsiTheme="majorHAnsi"/>
        </w:rPr>
        <w:t>Remove</w:t>
      </w:r>
      <w:r w:rsidR="007D7927">
        <w:rPr>
          <w:rFonts w:asciiTheme="majorHAnsi" w:hAnsiTheme="majorHAnsi"/>
        </w:rPr>
        <w:t xml:space="preserve"> the pH probe and rinse well with </w:t>
      </w:r>
      <w:r w:rsidRPr="002367F4">
        <w:rPr>
          <w:rFonts w:asciiTheme="majorHAnsi" w:hAnsiTheme="majorHAnsi"/>
        </w:rPr>
        <w:t>ddH</w:t>
      </w:r>
      <w:r w:rsidRPr="00FC72D3">
        <w:rPr>
          <w:rFonts w:asciiTheme="majorHAnsi" w:hAnsiTheme="majorHAnsi"/>
          <w:vertAlign w:val="subscript"/>
        </w:rPr>
        <w:t>2</w:t>
      </w:r>
      <w:r w:rsidR="00FC72D3">
        <w:rPr>
          <w:rFonts w:asciiTheme="majorHAnsi" w:hAnsiTheme="majorHAnsi"/>
        </w:rPr>
        <w:t>O. Store as directed in fresh storage solution.</w:t>
      </w:r>
    </w:p>
    <w:p w14:paraId="67D17192" w14:textId="77777777" w:rsidR="008041EC" w:rsidRDefault="008041EC" w:rsidP="00FC72D3">
      <w:pPr>
        <w:pStyle w:val="NoteLevel1"/>
        <w:numPr>
          <w:ilvl w:val="0"/>
          <w:numId w:val="0"/>
        </w:numPr>
        <w:rPr>
          <w:rFonts w:asciiTheme="majorHAnsi" w:hAnsiTheme="majorHAnsi"/>
          <w:b/>
        </w:rPr>
      </w:pPr>
    </w:p>
    <w:p w14:paraId="506587EA" w14:textId="77777777" w:rsidR="002367F4" w:rsidRPr="002367F4" w:rsidRDefault="002367F4" w:rsidP="00FC72D3">
      <w:pPr>
        <w:pStyle w:val="NoteLevel1"/>
        <w:numPr>
          <w:ilvl w:val="0"/>
          <w:numId w:val="0"/>
        </w:numPr>
        <w:rPr>
          <w:rFonts w:asciiTheme="majorHAnsi" w:hAnsiTheme="majorHAnsi"/>
          <w:b/>
        </w:rPr>
      </w:pPr>
      <w:r w:rsidRPr="002367F4">
        <w:rPr>
          <w:rFonts w:asciiTheme="majorHAnsi" w:hAnsiTheme="majorHAnsi"/>
          <w:b/>
        </w:rPr>
        <w:t>Calculations:</w:t>
      </w:r>
    </w:p>
    <w:p w14:paraId="621C0102" w14:textId="77777777" w:rsidR="002367F4" w:rsidRPr="002367F4" w:rsidRDefault="002367F4" w:rsidP="00CA251D">
      <w:pPr>
        <w:pStyle w:val="NoteLevel1"/>
        <w:numPr>
          <w:ilvl w:val="0"/>
          <w:numId w:val="4"/>
        </w:numPr>
        <w:rPr>
          <w:rFonts w:asciiTheme="majorHAnsi" w:hAnsiTheme="majorHAnsi"/>
        </w:rPr>
      </w:pPr>
      <w:r w:rsidRPr="002367F4">
        <w:rPr>
          <w:rFonts w:asciiTheme="majorHAnsi" w:hAnsiTheme="majorHAnsi"/>
        </w:rPr>
        <w:t>Total alkalinity (TA) = (</w:t>
      </w:r>
      <w:r w:rsidRPr="002367F4">
        <w:rPr>
          <w:rFonts w:asciiTheme="majorHAnsi" w:hAnsiTheme="majorHAnsi"/>
          <w:u w:val="single"/>
        </w:rPr>
        <w:t>V4.0 + V4.3 + V5.7) x N x 50,000</w:t>
      </w:r>
      <w:r w:rsidRPr="002367F4">
        <w:rPr>
          <w:rFonts w:asciiTheme="majorHAnsi" w:hAnsiTheme="majorHAnsi"/>
        </w:rPr>
        <w:t xml:space="preserve">    [CaCO3 mg/L]</w:t>
      </w:r>
    </w:p>
    <w:p w14:paraId="675FA43B" w14:textId="77777777" w:rsidR="002367F4" w:rsidRPr="002367F4" w:rsidRDefault="002367F4" w:rsidP="00763686">
      <w:pPr>
        <w:pStyle w:val="NoteLevel1"/>
        <w:numPr>
          <w:ilvl w:val="0"/>
          <w:numId w:val="0"/>
        </w:numPr>
        <w:ind w:left="720" w:firstLine="720"/>
        <w:rPr>
          <w:rFonts w:asciiTheme="majorHAnsi" w:hAnsiTheme="majorHAnsi"/>
        </w:rPr>
      </w:pPr>
      <w:r w:rsidRPr="002367F4">
        <w:rPr>
          <w:rFonts w:asciiTheme="majorHAnsi" w:hAnsiTheme="majorHAnsi"/>
        </w:rPr>
        <w:t xml:space="preserve">                                           V</w:t>
      </w:r>
    </w:p>
    <w:p w14:paraId="5B2C6AF6" w14:textId="77777777" w:rsidR="00763686" w:rsidRDefault="00763686" w:rsidP="00763686">
      <w:pPr>
        <w:pStyle w:val="NoteLevel1"/>
        <w:numPr>
          <w:ilvl w:val="0"/>
          <w:numId w:val="0"/>
        </w:numPr>
        <w:rPr>
          <w:rFonts w:asciiTheme="majorHAnsi" w:hAnsiTheme="majorHAnsi"/>
        </w:rPr>
      </w:pPr>
    </w:p>
    <w:p w14:paraId="52103F0D" w14:textId="77777777" w:rsidR="002367F4" w:rsidRPr="002367F4" w:rsidRDefault="002367F4" w:rsidP="00CA251D">
      <w:pPr>
        <w:pStyle w:val="NoteLevel1"/>
        <w:numPr>
          <w:ilvl w:val="0"/>
          <w:numId w:val="4"/>
        </w:numPr>
        <w:rPr>
          <w:rFonts w:asciiTheme="majorHAnsi" w:hAnsiTheme="majorHAnsi"/>
        </w:rPr>
      </w:pPr>
      <w:r w:rsidRPr="002367F4">
        <w:rPr>
          <w:rFonts w:asciiTheme="majorHAnsi" w:hAnsiTheme="majorHAnsi"/>
        </w:rPr>
        <w:t xml:space="preserve">Partial alkalinity (PA) = </w:t>
      </w:r>
      <w:r w:rsidRPr="002367F4">
        <w:rPr>
          <w:rFonts w:asciiTheme="majorHAnsi" w:hAnsiTheme="majorHAnsi"/>
          <w:u w:val="single"/>
        </w:rPr>
        <w:t>V5.7 X N X 50,000</w:t>
      </w:r>
      <w:r w:rsidRPr="002367F4">
        <w:rPr>
          <w:rFonts w:asciiTheme="majorHAnsi" w:hAnsiTheme="majorHAnsi"/>
        </w:rPr>
        <w:t xml:space="preserve">                          [CaCO3 mg/L]</w:t>
      </w:r>
    </w:p>
    <w:p w14:paraId="544FADD6" w14:textId="77777777" w:rsidR="002367F4" w:rsidRPr="002367F4" w:rsidRDefault="00763686" w:rsidP="00763686">
      <w:pPr>
        <w:pStyle w:val="NoteLevel1"/>
        <w:numPr>
          <w:ilvl w:val="0"/>
          <w:numId w:val="0"/>
        </w:numPr>
        <w:rPr>
          <w:rFonts w:asciiTheme="majorHAnsi" w:hAnsiTheme="majorHAnsi"/>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002367F4" w:rsidRPr="002367F4">
        <w:rPr>
          <w:rFonts w:asciiTheme="majorHAnsi" w:hAnsiTheme="majorHAnsi"/>
        </w:rPr>
        <w:t>V</w:t>
      </w:r>
    </w:p>
    <w:p w14:paraId="0FCCDBF6" w14:textId="77777777" w:rsidR="002367F4" w:rsidRPr="002367F4" w:rsidRDefault="002367F4" w:rsidP="00763686">
      <w:pPr>
        <w:pStyle w:val="NoteLevel1"/>
        <w:numPr>
          <w:ilvl w:val="0"/>
          <w:numId w:val="0"/>
        </w:numPr>
        <w:rPr>
          <w:rFonts w:asciiTheme="majorHAnsi" w:hAnsiTheme="majorHAnsi"/>
        </w:rPr>
      </w:pPr>
    </w:p>
    <w:p w14:paraId="411F3174" w14:textId="77777777" w:rsidR="002367F4" w:rsidRPr="002367F4" w:rsidRDefault="002367F4" w:rsidP="00CA251D">
      <w:pPr>
        <w:pStyle w:val="NoteLevel1"/>
        <w:numPr>
          <w:ilvl w:val="0"/>
          <w:numId w:val="4"/>
        </w:numPr>
        <w:rPr>
          <w:rFonts w:asciiTheme="majorHAnsi" w:hAnsiTheme="majorHAnsi"/>
        </w:rPr>
      </w:pPr>
      <w:r w:rsidRPr="002367F4">
        <w:rPr>
          <w:rFonts w:asciiTheme="majorHAnsi" w:hAnsiTheme="majorHAnsi"/>
        </w:rPr>
        <w:t xml:space="preserve">Intermediate alkalinity </w:t>
      </w:r>
      <w:r w:rsidR="00D67A0D">
        <w:rPr>
          <w:rFonts w:asciiTheme="majorHAnsi" w:hAnsiTheme="majorHAnsi"/>
        </w:rPr>
        <w:t>(</w:t>
      </w:r>
      <w:r w:rsidRPr="002367F4">
        <w:rPr>
          <w:rFonts w:asciiTheme="majorHAnsi" w:hAnsiTheme="majorHAnsi"/>
        </w:rPr>
        <w:t>IA</w:t>
      </w:r>
      <w:r w:rsidR="00D67A0D">
        <w:rPr>
          <w:rFonts w:asciiTheme="majorHAnsi" w:hAnsiTheme="majorHAnsi"/>
        </w:rPr>
        <w:t>)</w:t>
      </w:r>
      <w:r w:rsidRPr="002367F4">
        <w:rPr>
          <w:rFonts w:asciiTheme="majorHAnsi" w:hAnsiTheme="majorHAnsi"/>
        </w:rPr>
        <w:t xml:space="preserve"> = </w:t>
      </w:r>
      <w:r w:rsidRPr="002367F4">
        <w:rPr>
          <w:rFonts w:asciiTheme="majorHAnsi" w:hAnsiTheme="majorHAnsi"/>
          <w:u w:val="single"/>
        </w:rPr>
        <w:t>V4.3 X N X 50,000</w:t>
      </w:r>
      <w:r w:rsidRPr="002367F4">
        <w:rPr>
          <w:rFonts w:asciiTheme="majorHAnsi" w:hAnsiTheme="majorHAnsi"/>
        </w:rPr>
        <w:t xml:space="preserve">                    [CaCO3 mg/L]</w:t>
      </w:r>
    </w:p>
    <w:p w14:paraId="64B8F4BF" w14:textId="77777777" w:rsidR="002367F4" w:rsidRPr="002367F4" w:rsidRDefault="002367F4" w:rsidP="00763686">
      <w:pPr>
        <w:pStyle w:val="NoteLevel1"/>
        <w:numPr>
          <w:ilvl w:val="0"/>
          <w:numId w:val="0"/>
        </w:numPr>
        <w:rPr>
          <w:rFonts w:asciiTheme="majorHAnsi" w:hAnsiTheme="majorHAnsi"/>
        </w:rPr>
      </w:pPr>
      <w:r w:rsidRPr="002367F4">
        <w:rPr>
          <w:rFonts w:asciiTheme="majorHAnsi" w:hAnsiTheme="majorHAnsi"/>
        </w:rPr>
        <w:t xml:space="preserve">      </w:t>
      </w:r>
      <w:r w:rsidR="00D67A0D">
        <w:rPr>
          <w:rFonts w:asciiTheme="majorHAnsi" w:hAnsiTheme="majorHAnsi"/>
        </w:rPr>
        <w:tab/>
      </w:r>
      <w:r w:rsidR="00D67A0D">
        <w:rPr>
          <w:rFonts w:asciiTheme="majorHAnsi" w:hAnsiTheme="majorHAnsi"/>
        </w:rPr>
        <w:tab/>
      </w:r>
      <w:r w:rsidR="00D67A0D">
        <w:rPr>
          <w:rFonts w:asciiTheme="majorHAnsi" w:hAnsiTheme="majorHAnsi"/>
        </w:rPr>
        <w:tab/>
      </w:r>
      <w:r w:rsidR="00D67A0D">
        <w:rPr>
          <w:rFonts w:asciiTheme="majorHAnsi" w:hAnsiTheme="majorHAnsi"/>
        </w:rPr>
        <w:tab/>
      </w:r>
      <w:r w:rsidR="00D67A0D">
        <w:rPr>
          <w:rFonts w:asciiTheme="majorHAnsi" w:hAnsiTheme="majorHAnsi"/>
        </w:rPr>
        <w:tab/>
      </w:r>
      <w:r w:rsidRPr="002367F4">
        <w:rPr>
          <w:rFonts w:asciiTheme="majorHAnsi" w:hAnsiTheme="majorHAnsi"/>
        </w:rPr>
        <w:t>V</w:t>
      </w:r>
    </w:p>
    <w:p w14:paraId="269239C6" w14:textId="77777777" w:rsidR="00D67A0D" w:rsidRDefault="00D67A0D" w:rsidP="00D67A0D">
      <w:pPr>
        <w:pStyle w:val="NoteLevel1"/>
        <w:numPr>
          <w:ilvl w:val="0"/>
          <w:numId w:val="0"/>
        </w:numPr>
        <w:ind w:left="360"/>
        <w:rPr>
          <w:rFonts w:asciiTheme="majorHAnsi" w:hAnsiTheme="majorHAnsi"/>
        </w:rPr>
      </w:pPr>
    </w:p>
    <w:p w14:paraId="52BF3A78" w14:textId="77777777" w:rsidR="00D67A0D" w:rsidRPr="00D67A0D" w:rsidRDefault="00D67A0D" w:rsidP="00D67A0D">
      <w:pPr>
        <w:pStyle w:val="NoteLevel1"/>
        <w:numPr>
          <w:ilvl w:val="0"/>
          <w:numId w:val="0"/>
        </w:numPr>
        <w:ind w:left="360"/>
        <w:rPr>
          <w:rFonts w:asciiTheme="majorHAnsi" w:hAnsiTheme="majorHAnsi"/>
        </w:rPr>
      </w:pPr>
      <w:r w:rsidRPr="00D67A0D">
        <w:rPr>
          <w:rFonts w:asciiTheme="majorHAnsi" w:hAnsiTheme="majorHAnsi"/>
          <w:i/>
        </w:rPr>
        <w:t xml:space="preserve">       Where: N = acid normality; V = volume of sample (mL)</w:t>
      </w:r>
    </w:p>
    <w:p w14:paraId="0D32E9C2" w14:textId="77777777" w:rsidR="002367F4" w:rsidRPr="002367F4" w:rsidRDefault="002367F4" w:rsidP="00763686">
      <w:pPr>
        <w:pStyle w:val="NoteLevel1"/>
        <w:numPr>
          <w:ilvl w:val="0"/>
          <w:numId w:val="0"/>
        </w:numPr>
        <w:rPr>
          <w:rFonts w:asciiTheme="majorHAnsi" w:hAnsiTheme="majorHAnsi"/>
        </w:rPr>
      </w:pPr>
    </w:p>
    <w:p w14:paraId="753E7AFC" w14:textId="77777777" w:rsidR="002367F4" w:rsidRPr="002367F4" w:rsidRDefault="00D67A0D" w:rsidP="00801D82">
      <w:pPr>
        <w:pStyle w:val="NoteLevel1"/>
        <w:numPr>
          <w:ilvl w:val="0"/>
          <w:numId w:val="0"/>
        </w:numPr>
        <w:ind w:left="360"/>
        <w:rPr>
          <w:rFonts w:asciiTheme="majorHAnsi" w:hAnsiTheme="majorHAnsi"/>
        </w:rPr>
      </w:pPr>
      <w:r w:rsidRPr="00885684">
        <w:rPr>
          <w:rFonts w:asciiTheme="majorHAnsi" w:hAnsiTheme="majorHAnsi"/>
          <w:u w:val="single"/>
        </w:rPr>
        <w:t>Units of measurement</w:t>
      </w:r>
      <w:r>
        <w:rPr>
          <w:rFonts w:asciiTheme="majorHAnsi" w:hAnsiTheme="majorHAnsi"/>
        </w:rPr>
        <w:t xml:space="preserve">: </w:t>
      </w:r>
      <w:r w:rsidR="002367F4" w:rsidRPr="002367F4">
        <w:rPr>
          <w:rFonts w:asciiTheme="majorHAnsi" w:hAnsiTheme="majorHAnsi"/>
        </w:rPr>
        <w:t>mg/L CaCO3 = (mL)(eq/L)(mg/eq)/mL = mg/L</w:t>
      </w:r>
    </w:p>
    <w:p w14:paraId="790108A2" w14:textId="77777777" w:rsidR="00801D82" w:rsidRPr="00801D82" w:rsidRDefault="00801D82" w:rsidP="00801D82">
      <w:pPr>
        <w:pStyle w:val="NoteLevel1"/>
        <w:numPr>
          <w:ilvl w:val="0"/>
          <w:numId w:val="0"/>
        </w:numPr>
        <w:rPr>
          <w:rFonts w:asciiTheme="majorHAnsi" w:hAnsiTheme="majorHAnsi"/>
        </w:rPr>
      </w:pPr>
    </w:p>
    <w:p w14:paraId="37B52F0E" w14:textId="77777777" w:rsidR="00BE7BD7" w:rsidRDefault="00885684" w:rsidP="00BE7BD7">
      <w:pPr>
        <w:pStyle w:val="NoteLevel1"/>
        <w:numPr>
          <w:ilvl w:val="0"/>
          <w:numId w:val="4"/>
        </w:numPr>
        <w:tabs>
          <w:tab w:val="left" w:pos="630"/>
        </w:tabs>
        <w:ind w:left="720"/>
        <w:rPr>
          <w:rFonts w:asciiTheme="majorHAnsi" w:hAnsiTheme="majorHAnsi"/>
        </w:rPr>
      </w:pPr>
      <w:r w:rsidRPr="002367F4">
        <w:rPr>
          <w:rFonts w:asciiTheme="majorHAnsi" w:hAnsiTheme="majorHAnsi"/>
          <w:b/>
        </w:rPr>
        <w:t>Note:</w:t>
      </w:r>
      <w:r w:rsidRPr="002367F4">
        <w:rPr>
          <w:rFonts w:asciiTheme="majorHAnsi" w:hAnsiTheme="majorHAnsi"/>
        </w:rPr>
        <w:t xml:space="preserve"> The relationship between parts per million (ppm) and m</w:t>
      </w:r>
      <w:r w:rsidR="00BE7BD7">
        <w:rPr>
          <w:rFonts w:asciiTheme="majorHAnsi" w:hAnsiTheme="majorHAnsi"/>
        </w:rPr>
        <w:t>g/L is given by:</w:t>
      </w:r>
      <w:r w:rsidR="00BE7BD7">
        <w:rPr>
          <w:rFonts w:asciiTheme="majorHAnsi" w:hAnsiTheme="majorHAnsi"/>
        </w:rPr>
        <w:br/>
        <w:t xml:space="preserve">            </w:t>
      </w:r>
      <w:r w:rsidRPr="002367F4">
        <w:rPr>
          <w:rFonts w:asciiTheme="majorHAnsi" w:hAnsiTheme="majorHAnsi"/>
        </w:rPr>
        <w:t>(ppm)(so</w:t>
      </w:r>
      <w:r w:rsidR="00BE7BD7">
        <w:rPr>
          <w:rFonts w:asciiTheme="majorHAnsi" w:hAnsiTheme="majorHAnsi"/>
        </w:rPr>
        <w:t>lution density) = mg/L</w:t>
      </w:r>
    </w:p>
    <w:p w14:paraId="3CDAFDD5" w14:textId="77777777" w:rsidR="00885684" w:rsidRPr="00BE7BD7" w:rsidRDefault="00885684" w:rsidP="00BE7BD7">
      <w:pPr>
        <w:pStyle w:val="NoteLevel1"/>
        <w:numPr>
          <w:ilvl w:val="0"/>
          <w:numId w:val="0"/>
        </w:numPr>
        <w:tabs>
          <w:tab w:val="left" w:pos="630"/>
        </w:tabs>
        <w:ind w:left="1350"/>
        <w:rPr>
          <w:rFonts w:asciiTheme="majorHAnsi" w:hAnsiTheme="majorHAnsi"/>
        </w:rPr>
      </w:pPr>
      <w:r w:rsidRPr="00BE7BD7">
        <w:rPr>
          <w:rFonts w:asciiTheme="majorHAnsi" w:hAnsiTheme="majorHAnsi"/>
        </w:rPr>
        <w:t>So for dilute aqueous solutions (with a density very cl</w:t>
      </w:r>
      <w:r w:rsidR="00BE7BD7">
        <w:rPr>
          <w:rFonts w:asciiTheme="majorHAnsi" w:hAnsiTheme="majorHAnsi"/>
        </w:rPr>
        <w:t xml:space="preserve">ose to 1 g/mL): </w:t>
      </w:r>
      <w:r w:rsidRPr="00BE7BD7">
        <w:rPr>
          <w:rFonts w:asciiTheme="majorHAnsi" w:hAnsiTheme="majorHAnsi"/>
        </w:rPr>
        <w:t>ppm = mg/L</w:t>
      </w:r>
    </w:p>
    <w:p w14:paraId="3848B4BD" w14:textId="77777777" w:rsidR="002367F4" w:rsidRPr="002367F4" w:rsidRDefault="002367F4" w:rsidP="00885684">
      <w:pPr>
        <w:pStyle w:val="NoteLevel1"/>
        <w:numPr>
          <w:ilvl w:val="0"/>
          <w:numId w:val="0"/>
        </w:numPr>
        <w:rPr>
          <w:rFonts w:asciiTheme="majorHAnsi" w:hAnsiTheme="majorHAnsi"/>
        </w:rPr>
      </w:pPr>
    </w:p>
    <w:p w14:paraId="13F4DEA5" w14:textId="77777777" w:rsidR="008041EC" w:rsidRDefault="008041EC">
      <w:pPr>
        <w:rPr>
          <w:rFonts w:asciiTheme="majorHAnsi" w:hAnsiTheme="majorHAnsi"/>
          <w:b/>
        </w:rPr>
      </w:pPr>
      <w:r>
        <w:rPr>
          <w:rFonts w:asciiTheme="majorHAnsi" w:hAnsiTheme="majorHAnsi"/>
          <w:b/>
        </w:rPr>
        <w:t>Type the data into the spreadsheet posted on the R: drive:</w:t>
      </w:r>
    </w:p>
    <w:p w14:paraId="5C8D51D3" w14:textId="6CE5661C" w:rsidR="008041EC" w:rsidRDefault="008041EC">
      <w:pPr>
        <w:rPr>
          <w:rFonts w:asciiTheme="majorHAnsi" w:hAnsiTheme="majorHAnsi"/>
          <w:b/>
        </w:rPr>
      </w:pPr>
      <w:r>
        <w:rPr>
          <w:rFonts w:asciiTheme="majorHAnsi" w:hAnsiTheme="majorHAnsi"/>
        </w:rPr>
        <w:tab/>
        <w:t xml:space="preserve">R: &gt; anaerobic digester &gt; </w:t>
      </w:r>
      <w:r w:rsidR="00DE05EC">
        <w:rPr>
          <w:rFonts w:asciiTheme="majorHAnsi" w:hAnsiTheme="majorHAnsi"/>
        </w:rPr>
        <w:t>data</w:t>
      </w:r>
      <w:bookmarkStart w:id="0" w:name="_GoBack"/>
      <w:bookmarkEnd w:id="0"/>
      <w:r>
        <w:rPr>
          <w:rFonts w:asciiTheme="majorHAnsi" w:hAnsiTheme="majorHAnsi"/>
          <w:b/>
        </w:rPr>
        <w:br w:type="page"/>
      </w:r>
    </w:p>
    <w:p w14:paraId="584A80C3" w14:textId="4997B87C" w:rsidR="002367F4" w:rsidRPr="00885684" w:rsidRDefault="00885684" w:rsidP="00885684">
      <w:pPr>
        <w:pStyle w:val="NoteLevel1"/>
        <w:numPr>
          <w:ilvl w:val="0"/>
          <w:numId w:val="0"/>
        </w:numPr>
        <w:rPr>
          <w:rFonts w:asciiTheme="majorHAnsi" w:hAnsiTheme="majorHAnsi"/>
          <w:b/>
        </w:rPr>
      </w:pPr>
      <w:r>
        <w:rPr>
          <w:rFonts w:asciiTheme="majorHAnsi" w:hAnsiTheme="majorHAnsi"/>
          <w:b/>
        </w:rPr>
        <w:t>Derivation of c</w:t>
      </w:r>
      <w:r w:rsidR="002367F4" w:rsidRPr="002367F4">
        <w:rPr>
          <w:rFonts w:asciiTheme="majorHAnsi" w:hAnsiTheme="majorHAnsi"/>
          <w:b/>
        </w:rPr>
        <w:t>alculations for expressing alkalinity as CaCO3</w:t>
      </w:r>
      <w:r>
        <w:rPr>
          <w:rFonts w:asciiTheme="majorHAnsi" w:hAnsiTheme="majorHAnsi"/>
          <w:b/>
        </w:rPr>
        <w:t>:</w:t>
      </w:r>
    </w:p>
    <w:p w14:paraId="3D3AAB55" w14:textId="77777777" w:rsidR="002367F4" w:rsidRPr="002367F4" w:rsidRDefault="002367F4" w:rsidP="002367F4">
      <w:pPr>
        <w:pStyle w:val="NoteLevel1"/>
        <w:numPr>
          <w:ilvl w:val="0"/>
          <w:numId w:val="1"/>
        </w:numPr>
        <w:rPr>
          <w:rFonts w:asciiTheme="majorHAnsi" w:hAnsiTheme="majorHAnsi"/>
        </w:rPr>
      </w:pPr>
      <w:r w:rsidRPr="002367F4">
        <w:rPr>
          <w:rFonts w:asciiTheme="majorHAnsi" w:hAnsiTheme="majorHAnsi"/>
        </w:rPr>
        <w:t>Calculate the molecular weight (molar mass) of CaCO</w:t>
      </w:r>
      <w:r w:rsidRPr="00885684">
        <w:rPr>
          <w:rFonts w:asciiTheme="majorHAnsi" w:hAnsiTheme="majorHAnsi"/>
          <w:sz w:val="24"/>
          <w:vertAlign w:val="subscript"/>
        </w:rPr>
        <w:t>3</w:t>
      </w:r>
      <w:r w:rsidRPr="002367F4">
        <w:rPr>
          <w:rFonts w:asciiTheme="majorHAnsi" w:hAnsiTheme="majorHAnsi"/>
        </w:rPr>
        <w:t>:</w:t>
      </w:r>
      <w:r w:rsidRPr="002367F4">
        <w:rPr>
          <w:rFonts w:asciiTheme="majorHAnsi" w:hAnsiTheme="majorHAnsi"/>
        </w:rPr>
        <w:br/>
        <w:t xml:space="preserve">      40.08 + 12.01 + (3 x 15.99) = 100.06 g/mol</w:t>
      </w:r>
      <w:r w:rsidR="00885684">
        <w:rPr>
          <w:rFonts w:asciiTheme="majorHAnsi" w:hAnsiTheme="majorHAnsi"/>
        </w:rPr>
        <w:br/>
      </w:r>
    </w:p>
    <w:p w14:paraId="0ECBA457" w14:textId="77777777" w:rsidR="002367F4" w:rsidRPr="002367F4" w:rsidRDefault="00885684" w:rsidP="002367F4">
      <w:pPr>
        <w:pStyle w:val="NoteLevel1"/>
        <w:numPr>
          <w:ilvl w:val="0"/>
          <w:numId w:val="1"/>
        </w:numPr>
        <w:rPr>
          <w:rFonts w:asciiTheme="majorHAnsi" w:hAnsiTheme="majorHAnsi"/>
        </w:rPr>
      </w:pPr>
      <w:r>
        <w:rPr>
          <w:rFonts w:asciiTheme="majorHAnsi" w:hAnsiTheme="majorHAnsi"/>
        </w:rPr>
        <w:t>Divide this</w:t>
      </w:r>
      <w:r w:rsidR="002367F4" w:rsidRPr="002367F4">
        <w:rPr>
          <w:rFonts w:asciiTheme="majorHAnsi" w:hAnsiTheme="majorHAnsi"/>
        </w:rPr>
        <w:t xml:space="preserve"> molar mass by the ionic charge or oxidation number to calculate equivalents of CaCO</w:t>
      </w:r>
      <w:r w:rsidR="002367F4" w:rsidRPr="00885684">
        <w:rPr>
          <w:rFonts w:asciiTheme="majorHAnsi" w:hAnsiTheme="majorHAnsi"/>
          <w:sz w:val="24"/>
          <w:vertAlign w:val="subscript"/>
        </w:rPr>
        <w:t>3</w:t>
      </w:r>
      <w:r w:rsidR="002367F4" w:rsidRPr="002367F4">
        <w:rPr>
          <w:rFonts w:asciiTheme="majorHAnsi" w:hAnsiTheme="majorHAnsi"/>
        </w:rPr>
        <w:t>:</w:t>
      </w:r>
      <w:r w:rsidR="002367F4" w:rsidRPr="002367F4">
        <w:rPr>
          <w:rFonts w:asciiTheme="majorHAnsi" w:hAnsiTheme="majorHAnsi"/>
        </w:rPr>
        <w:br/>
        <w:t xml:space="preserve">       </w:t>
      </w:r>
      <w:r w:rsidR="002367F4" w:rsidRPr="002367F4">
        <w:rPr>
          <w:rFonts w:asciiTheme="majorHAnsi" w:hAnsiTheme="majorHAnsi"/>
          <w:u w:val="single"/>
        </w:rPr>
        <w:t>100.06 g/mol</w:t>
      </w:r>
      <w:r w:rsidR="002367F4" w:rsidRPr="002367F4">
        <w:rPr>
          <w:rFonts w:asciiTheme="majorHAnsi" w:hAnsiTheme="majorHAnsi"/>
        </w:rPr>
        <w:t xml:space="preserve">  =  50.03 ~ 50 g/equivalent = 50,000 mg/equivalent CaCO</w:t>
      </w:r>
      <w:r w:rsidR="002367F4" w:rsidRPr="00885684">
        <w:rPr>
          <w:rFonts w:asciiTheme="majorHAnsi" w:hAnsiTheme="majorHAnsi"/>
          <w:sz w:val="24"/>
          <w:vertAlign w:val="subscript"/>
        </w:rPr>
        <w:t>3</w:t>
      </w:r>
      <w:r w:rsidR="002367F4" w:rsidRPr="002367F4">
        <w:rPr>
          <w:rFonts w:asciiTheme="majorHAnsi" w:hAnsiTheme="majorHAnsi"/>
        </w:rPr>
        <w:br/>
        <w:t xml:space="preserve">        2 equiv./mol</w:t>
      </w:r>
    </w:p>
    <w:p w14:paraId="356C4385" w14:textId="77777777" w:rsidR="002367F4" w:rsidRPr="002367F4" w:rsidRDefault="002367F4" w:rsidP="00885684">
      <w:pPr>
        <w:pStyle w:val="NoteLevel1"/>
        <w:numPr>
          <w:ilvl w:val="0"/>
          <w:numId w:val="0"/>
        </w:numPr>
        <w:ind w:left="360"/>
        <w:rPr>
          <w:rFonts w:asciiTheme="majorHAnsi" w:hAnsiTheme="majorHAnsi"/>
        </w:rPr>
      </w:pPr>
    </w:p>
    <w:p w14:paraId="15671BB6" w14:textId="77777777" w:rsidR="002367F4" w:rsidRPr="002367F4" w:rsidRDefault="002367F4" w:rsidP="00885684">
      <w:pPr>
        <w:pStyle w:val="NoteLevel1"/>
        <w:numPr>
          <w:ilvl w:val="0"/>
          <w:numId w:val="0"/>
        </w:numPr>
        <w:ind w:left="360"/>
        <w:rPr>
          <w:rFonts w:asciiTheme="majorHAnsi" w:hAnsiTheme="majorHAnsi"/>
        </w:rPr>
      </w:pPr>
    </w:p>
    <w:p w14:paraId="3488F142" w14:textId="77777777" w:rsidR="008041EC" w:rsidRDefault="008041EC" w:rsidP="00885684">
      <w:pPr>
        <w:pStyle w:val="NoteLevel1"/>
        <w:numPr>
          <w:ilvl w:val="0"/>
          <w:numId w:val="0"/>
        </w:numPr>
        <w:rPr>
          <w:rFonts w:asciiTheme="majorHAnsi" w:hAnsiTheme="majorHAnsi"/>
          <w:b/>
        </w:rPr>
      </w:pPr>
    </w:p>
    <w:p w14:paraId="049C3025" w14:textId="77777777" w:rsidR="008041EC" w:rsidRDefault="008041EC" w:rsidP="00885684">
      <w:pPr>
        <w:pStyle w:val="NoteLevel1"/>
        <w:numPr>
          <w:ilvl w:val="0"/>
          <w:numId w:val="0"/>
        </w:numPr>
        <w:rPr>
          <w:rFonts w:asciiTheme="majorHAnsi" w:hAnsiTheme="majorHAnsi"/>
          <w:b/>
        </w:rPr>
      </w:pPr>
    </w:p>
    <w:p w14:paraId="76EFB3A2" w14:textId="77777777" w:rsidR="008041EC" w:rsidRDefault="008041EC" w:rsidP="00885684">
      <w:pPr>
        <w:pStyle w:val="NoteLevel1"/>
        <w:numPr>
          <w:ilvl w:val="0"/>
          <w:numId w:val="0"/>
        </w:numPr>
        <w:rPr>
          <w:rFonts w:asciiTheme="majorHAnsi" w:hAnsiTheme="majorHAnsi"/>
          <w:b/>
        </w:rPr>
      </w:pPr>
    </w:p>
    <w:p w14:paraId="7BFD844E" w14:textId="77777777" w:rsidR="002367F4" w:rsidRPr="002367F4" w:rsidRDefault="002367F4" w:rsidP="00885684">
      <w:pPr>
        <w:pStyle w:val="NoteLevel1"/>
        <w:numPr>
          <w:ilvl w:val="0"/>
          <w:numId w:val="0"/>
        </w:numPr>
        <w:rPr>
          <w:rFonts w:asciiTheme="majorHAnsi" w:hAnsiTheme="majorHAnsi"/>
          <w:b/>
        </w:rPr>
      </w:pPr>
      <w:r w:rsidRPr="002367F4">
        <w:rPr>
          <w:rFonts w:asciiTheme="majorHAnsi" w:hAnsiTheme="majorHAnsi"/>
          <w:b/>
        </w:rPr>
        <w:t>References:</w:t>
      </w:r>
    </w:p>
    <w:p w14:paraId="47C9AE0E" w14:textId="77777777" w:rsidR="002367F4" w:rsidRPr="002367F4" w:rsidRDefault="002367F4" w:rsidP="00801D82">
      <w:pPr>
        <w:pStyle w:val="NoteLevel1"/>
        <w:numPr>
          <w:ilvl w:val="0"/>
          <w:numId w:val="0"/>
        </w:numPr>
        <w:ind w:left="360" w:hanging="360"/>
        <w:rPr>
          <w:rFonts w:asciiTheme="majorHAnsi" w:hAnsiTheme="majorHAnsi"/>
        </w:rPr>
      </w:pPr>
      <w:r w:rsidRPr="002367F4">
        <w:rPr>
          <w:rFonts w:asciiTheme="majorHAnsi" w:hAnsiTheme="majorHAnsi"/>
        </w:rPr>
        <w:t>Callaghan, F.J., Wase, D.A.J., Thayanithy, K., Forster, C.F. (2002) Continuous co-digestion of cattle slurry with fruit and vegetable wastes and chicken manure. Biomass and Bioenergy, 22: 71- 77</w:t>
      </w:r>
    </w:p>
    <w:p w14:paraId="1F272388" w14:textId="77777777" w:rsidR="00801D82" w:rsidRDefault="00801D82" w:rsidP="00801D82">
      <w:pPr>
        <w:pStyle w:val="NoteLevel1"/>
        <w:numPr>
          <w:ilvl w:val="0"/>
          <w:numId w:val="0"/>
        </w:numPr>
        <w:ind w:left="360" w:hanging="360"/>
        <w:rPr>
          <w:rFonts w:asciiTheme="majorHAnsi" w:hAnsiTheme="majorHAnsi"/>
        </w:rPr>
      </w:pPr>
    </w:p>
    <w:p w14:paraId="6F4E6235" w14:textId="74F25C4D" w:rsidR="000B6953" w:rsidRDefault="000B6953" w:rsidP="00801D82">
      <w:pPr>
        <w:pStyle w:val="NoteLevel1"/>
        <w:numPr>
          <w:ilvl w:val="0"/>
          <w:numId w:val="0"/>
        </w:numPr>
        <w:ind w:left="360" w:hanging="360"/>
        <w:rPr>
          <w:rFonts w:asciiTheme="majorHAnsi" w:hAnsiTheme="majorHAnsi"/>
        </w:rPr>
      </w:pPr>
      <w:r>
        <w:rPr>
          <w:rFonts w:asciiTheme="majorHAnsi" w:hAnsiTheme="majorHAnsi"/>
        </w:rPr>
        <w:t>Drosg, B. (2013) Biogas process monitoring – techniques and recommendations, IEA</w:t>
      </w:r>
    </w:p>
    <w:p w14:paraId="2D1A78F3" w14:textId="77777777" w:rsidR="000B6953" w:rsidRDefault="000B6953" w:rsidP="00801D82">
      <w:pPr>
        <w:pStyle w:val="NoteLevel1"/>
        <w:numPr>
          <w:ilvl w:val="0"/>
          <w:numId w:val="0"/>
        </w:numPr>
        <w:ind w:left="360" w:hanging="360"/>
        <w:rPr>
          <w:rFonts w:asciiTheme="majorHAnsi" w:hAnsiTheme="majorHAnsi"/>
        </w:rPr>
      </w:pPr>
    </w:p>
    <w:p w14:paraId="2F8A19C1" w14:textId="205DE865" w:rsidR="00EE2FBD" w:rsidRPr="002367F4" w:rsidRDefault="00EE2FBD" w:rsidP="00EE2FBD">
      <w:pPr>
        <w:pStyle w:val="NoteLevel1"/>
        <w:numPr>
          <w:ilvl w:val="0"/>
          <w:numId w:val="0"/>
        </w:numPr>
        <w:ind w:left="360" w:hanging="360"/>
        <w:rPr>
          <w:rFonts w:asciiTheme="majorHAnsi" w:hAnsiTheme="majorHAnsi"/>
        </w:rPr>
      </w:pPr>
      <w:r w:rsidRPr="002367F4">
        <w:rPr>
          <w:rFonts w:asciiTheme="majorHAnsi" w:hAnsiTheme="majorHAnsi"/>
        </w:rPr>
        <w:t>Frear, C., Liao, W., Ewing</w:t>
      </w:r>
      <w:r w:rsidR="000B6953">
        <w:rPr>
          <w:rFonts w:asciiTheme="majorHAnsi" w:hAnsiTheme="majorHAnsi"/>
        </w:rPr>
        <w:t>, T., Chen, S. (2010) Baseline performance monitoring of commercial dairy anaerobic d</w:t>
      </w:r>
      <w:r w:rsidRPr="002367F4">
        <w:rPr>
          <w:rFonts w:asciiTheme="majorHAnsi" w:hAnsiTheme="majorHAnsi"/>
        </w:rPr>
        <w:t>igester, CSANR Research Report, 2010-001, Climate Friendly Farming</w:t>
      </w:r>
    </w:p>
    <w:p w14:paraId="600AC705" w14:textId="77777777" w:rsidR="00EE2FBD" w:rsidRDefault="00EE2FBD" w:rsidP="00EE2FBD">
      <w:pPr>
        <w:pStyle w:val="NoteLevel1"/>
        <w:numPr>
          <w:ilvl w:val="0"/>
          <w:numId w:val="0"/>
        </w:numPr>
        <w:ind w:left="360" w:hanging="360"/>
        <w:rPr>
          <w:rFonts w:asciiTheme="majorHAnsi" w:hAnsiTheme="majorHAnsi"/>
        </w:rPr>
      </w:pPr>
    </w:p>
    <w:p w14:paraId="3B8AE715" w14:textId="77777777" w:rsidR="002367F4" w:rsidRPr="002367F4" w:rsidRDefault="002367F4" w:rsidP="00801D82">
      <w:pPr>
        <w:pStyle w:val="NoteLevel1"/>
        <w:numPr>
          <w:ilvl w:val="0"/>
          <w:numId w:val="0"/>
        </w:numPr>
        <w:ind w:left="360" w:hanging="360"/>
        <w:rPr>
          <w:rFonts w:asciiTheme="majorHAnsi" w:hAnsiTheme="majorHAnsi"/>
        </w:rPr>
      </w:pPr>
      <w:r w:rsidRPr="002367F4">
        <w:rPr>
          <w:rFonts w:asciiTheme="majorHAnsi" w:hAnsiTheme="majorHAnsi"/>
        </w:rPr>
        <w:t>Hartmann, H. and Ahring, B.K. (2005) Anaerobic digestion of the organic fraction of municipal solid waste: influence of co-digestion with manure, Water Research, 39: 1543 - 1552</w:t>
      </w:r>
    </w:p>
    <w:p w14:paraId="5ACFDFD4" w14:textId="77777777" w:rsidR="00801D82" w:rsidRDefault="00801D82" w:rsidP="00801D82">
      <w:pPr>
        <w:pStyle w:val="NoteLevel1"/>
        <w:numPr>
          <w:ilvl w:val="0"/>
          <w:numId w:val="0"/>
        </w:numPr>
        <w:ind w:left="360" w:hanging="360"/>
        <w:rPr>
          <w:rFonts w:asciiTheme="majorHAnsi" w:hAnsiTheme="majorHAnsi"/>
        </w:rPr>
      </w:pPr>
    </w:p>
    <w:p w14:paraId="3685A75C" w14:textId="77777777" w:rsidR="00EE2FBD" w:rsidRPr="002367F4" w:rsidRDefault="00EE2FBD" w:rsidP="00EE2FBD">
      <w:pPr>
        <w:pStyle w:val="NoteLevel1"/>
        <w:numPr>
          <w:ilvl w:val="0"/>
          <w:numId w:val="0"/>
        </w:numPr>
        <w:ind w:left="360" w:hanging="360"/>
        <w:rPr>
          <w:rFonts w:asciiTheme="majorHAnsi" w:hAnsiTheme="majorHAnsi"/>
        </w:rPr>
      </w:pPr>
      <w:r w:rsidRPr="002367F4">
        <w:rPr>
          <w:rFonts w:asciiTheme="majorHAnsi" w:hAnsiTheme="majorHAnsi"/>
        </w:rPr>
        <w:t>Jenkins, R.S., Morgan, J.M., Zhang, X. (1991) Measuring the usable carbonate alkalinity of operating anaerobic digesters, Research Journal WPCF, 63(1): 28 -34</w:t>
      </w:r>
    </w:p>
    <w:p w14:paraId="40723948" w14:textId="77777777" w:rsidR="00EE2FBD" w:rsidRDefault="00EE2FBD" w:rsidP="00EE2FBD">
      <w:pPr>
        <w:pStyle w:val="NoteLevel1"/>
        <w:numPr>
          <w:ilvl w:val="0"/>
          <w:numId w:val="0"/>
        </w:numPr>
        <w:ind w:left="360" w:hanging="360"/>
        <w:rPr>
          <w:rFonts w:asciiTheme="majorHAnsi" w:hAnsiTheme="majorHAnsi"/>
        </w:rPr>
      </w:pPr>
    </w:p>
    <w:p w14:paraId="17FE133B" w14:textId="77777777" w:rsidR="002367F4" w:rsidRPr="002367F4" w:rsidRDefault="002367F4" w:rsidP="00801D82">
      <w:pPr>
        <w:pStyle w:val="NoteLevel1"/>
        <w:numPr>
          <w:ilvl w:val="0"/>
          <w:numId w:val="0"/>
        </w:numPr>
        <w:ind w:left="360" w:hanging="360"/>
        <w:rPr>
          <w:rFonts w:asciiTheme="majorHAnsi" w:hAnsiTheme="majorHAnsi"/>
        </w:rPr>
      </w:pPr>
      <w:r w:rsidRPr="002367F4">
        <w:rPr>
          <w:rFonts w:asciiTheme="majorHAnsi" w:hAnsiTheme="majorHAnsi"/>
        </w:rPr>
        <w:t>Ripley, L.E., Boyle, W.C., Converse, J.C. (1986) Improved alkalimetric monitoring for anaerobic digestion of high-strength wastes. Journal – Water Pollution Control Federation, 58: 406-11.</w:t>
      </w:r>
    </w:p>
    <w:p w14:paraId="09346C25" w14:textId="77777777" w:rsidR="00801D82" w:rsidRDefault="00801D82" w:rsidP="00801D82">
      <w:pPr>
        <w:pStyle w:val="NoteLevel1"/>
        <w:numPr>
          <w:ilvl w:val="0"/>
          <w:numId w:val="0"/>
        </w:numPr>
        <w:ind w:left="360" w:hanging="360"/>
        <w:rPr>
          <w:rFonts w:asciiTheme="majorHAnsi" w:hAnsiTheme="majorHAnsi"/>
        </w:rPr>
      </w:pPr>
    </w:p>
    <w:p w14:paraId="4E485D8A" w14:textId="77777777" w:rsidR="002367F4" w:rsidRPr="002367F4" w:rsidRDefault="002367F4" w:rsidP="00801D82">
      <w:pPr>
        <w:pStyle w:val="NoteLevel1"/>
        <w:numPr>
          <w:ilvl w:val="0"/>
          <w:numId w:val="0"/>
        </w:numPr>
        <w:ind w:left="360" w:hanging="360"/>
        <w:rPr>
          <w:rFonts w:asciiTheme="majorHAnsi" w:hAnsiTheme="majorHAnsi"/>
        </w:rPr>
      </w:pPr>
      <w:r w:rsidRPr="002367F4">
        <w:rPr>
          <w:rFonts w:asciiTheme="majorHAnsi" w:hAnsiTheme="majorHAnsi"/>
        </w:rPr>
        <w:t>Snoeyink, V. and Jenkins, D. (1980) Water Chemistry, John Wiley and Sons, NY, ISBN: 0-471-05196-9</w:t>
      </w:r>
    </w:p>
    <w:p w14:paraId="49394582" w14:textId="77777777" w:rsidR="006424E5" w:rsidRDefault="006424E5">
      <w:pPr>
        <w:rPr>
          <w:rFonts w:asciiTheme="majorHAnsi" w:hAnsiTheme="majorHAnsi"/>
        </w:rPr>
      </w:pPr>
    </w:p>
    <w:p w14:paraId="352C65EB" w14:textId="77777777" w:rsidR="00801D82" w:rsidRPr="002367F4" w:rsidRDefault="00801D82" w:rsidP="00801D82">
      <w:pPr>
        <w:pStyle w:val="NoteLevel1"/>
        <w:numPr>
          <w:ilvl w:val="0"/>
          <w:numId w:val="0"/>
        </w:numPr>
        <w:rPr>
          <w:rFonts w:asciiTheme="majorHAnsi" w:hAnsiTheme="majorHAnsi"/>
        </w:rPr>
      </w:pPr>
      <w:hyperlink r:id="rId8" w:history="1">
        <w:r w:rsidRPr="002367F4">
          <w:rPr>
            <w:rStyle w:val="Hyperlink"/>
            <w:rFonts w:asciiTheme="majorHAnsi" w:hAnsiTheme="majorHAnsi"/>
          </w:rPr>
          <w:t>www.ehow.com/how_5328969_calculate-alkalinity-caco.html</w:t>
        </w:r>
      </w:hyperlink>
    </w:p>
    <w:p w14:paraId="034EAC1C" w14:textId="77777777" w:rsidR="00801D82" w:rsidRPr="002367F4" w:rsidRDefault="00801D82">
      <w:pPr>
        <w:rPr>
          <w:rFonts w:asciiTheme="majorHAnsi" w:hAnsiTheme="majorHAnsi"/>
        </w:rPr>
      </w:pPr>
    </w:p>
    <w:sectPr w:rsidR="00801D82" w:rsidRPr="002367F4" w:rsidSect="00062A9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95CB" w14:textId="77777777" w:rsidR="008041EC" w:rsidRDefault="008041EC" w:rsidP="00D67A0D">
      <w:r>
        <w:separator/>
      </w:r>
    </w:p>
  </w:endnote>
  <w:endnote w:type="continuationSeparator" w:id="0">
    <w:p w14:paraId="2C13EF60" w14:textId="77777777" w:rsidR="008041EC" w:rsidRDefault="008041EC" w:rsidP="00D6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CB05" w14:textId="77777777" w:rsidR="008041EC" w:rsidRDefault="008041EC" w:rsidP="00D67A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C446C" w14:textId="77777777" w:rsidR="008041EC" w:rsidRDefault="008041EC" w:rsidP="00D67A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824E" w14:textId="77777777" w:rsidR="008041EC" w:rsidRPr="008568BB" w:rsidRDefault="008041EC" w:rsidP="00D67A0D">
    <w:pPr>
      <w:pStyle w:val="Footer"/>
      <w:framePr w:wrap="around" w:vAnchor="text" w:hAnchor="margin" w:xAlign="right" w:y="1"/>
      <w:rPr>
        <w:rStyle w:val="PageNumber"/>
        <w:sz w:val="20"/>
      </w:rPr>
    </w:pPr>
    <w:r w:rsidRPr="008568BB">
      <w:rPr>
        <w:rStyle w:val="PageNumber"/>
        <w:sz w:val="20"/>
      </w:rPr>
      <w:fldChar w:fldCharType="begin"/>
    </w:r>
    <w:r w:rsidRPr="008568BB">
      <w:rPr>
        <w:rStyle w:val="PageNumber"/>
        <w:sz w:val="20"/>
      </w:rPr>
      <w:instrText xml:space="preserve">PAGE  </w:instrText>
    </w:r>
    <w:r w:rsidRPr="008568BB">
      <w:rPr>
        <w:rStyle w:val="PageNumber"/>
        <w:sz w:val="20"/>
      </w:rPr>
      <w:fldChar w:fldCharType="separate"/>
    </w:r>
    <w:r w:rsidR="00DE05EC">
      <w:rPr>
        <w:rStyle w:val="PageNumber"/>
        <w:noProof/>
        <w:sz w:val="20"/>
      </w:rPr>
      <w:t>1</w:t>
    </w:r>
    <w:r w:rsidRPr="008568BB">
      <w:rPr>
        <w:rStyle w:val="PageNumber"/>
        <w:sz w:val="20"/>
      </w:rPr>
      <w:fldChar w:fldCharType="end"/>
    </w:r>
  </w:p>
  <w:p w14:paraId="4CC9A022" w14:textId="77777777" w:rsidR="008041EC" w:rsidRDefault="008041EC" w:rsidP="00D67A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D6970" w14:textId="77777777" w:rsidR="008041EC" w:rsidRDefault="008041EC" w:rsidP="00D67A0D">
      <w:r>
        <w:separator/>
      </w:r>
    </w:p>
  </w:footnote>
  <w:footnote w:type="continuationSeparator" w:id="0">
    <w:p w14:paraId="3C02E1EB" w14:textId="77777777" w:rsidR="008041EC" w:rsidRDefault="008041EC" w:rsidP="00D67A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B9"/>
    <w:multiLevelType w:val="hybridMultilevel"/>
    <w:tmpl w:val="EE40B5EE"/>
    <w:lvl w:ilvl="0" w:tplc="0FCA1F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E0903"/>
    <w:multiLevelType w:val="hybridMultilevel"/>
    <w:tmpl w:val="C4F8F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3007D"/>
    <w:multiLevelType w:val="hybridMultilevel"/>
    <w:tmpl w:val="AB009D96"/>
    <w:lvl w:ilvl="0" w:tplc="D8BE6D2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96129"/>
    <w:multiLevelType w:val="hybridMultilevel"/>
    <w:tmpl w:val="78A0F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1C101A"/>
    <w:multiLevelType w:val="multilevel"/>
    <w:tmpl w:val="190AEC7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5">
    <w:nsid w:val="482E44C8"/>
    <w:multiLevelType w:val="hybridMultilevel"/>
    <w:tmpl w:val="D2020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6">
    <w:nsid w:val="658E4376"/>
    <w:multiLevelType w:val="multilevel"/>
    <w:tmpl w:val="190AEC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6D4A73EA"/>
    <w:multiLevelType w:val="hybridMultilevel"/>
    <w:tmpl w:val="613A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4"/>
    <w:rsid w:val="00006092"/>
    <w:rsid w:val="000504C1"/>
    <w:rsid w:val="00062A94"/>
    <w:rsid w:val="00074878"/>
    <w:rsid w:val="0009334B"/>
    <w:rsid w:val="00093872"/>
    <w:rsid w:val="000B6953"/>
    <w:rsid w:val="000C234A"/>
    <w:rsid w:val="0012568D"/>
    <w:rsid w:val="00180138"/>
    <w:rsid w:val="001C1348"/>
    <w:rsid w:val="001D731B"/>
    <w:rsid w:val="001F1F9F"/>
    <w:rsid w:val="002367F4"/>
    <w:rsid w:val="00236D61"/>
    <w:rsid w:val="00251F11"/>
    <w:rsid w:val="002C418A"/>
    <w:rsid w:val="002C6D10"/>
    <w:rsid w:val="0036514B"/>
    <w:rsid w:val="0039069B"/>
    <w:rsid w:val="003A170A"/>
    <w:rsid w:val="00497955"/>
    <w:rsid w:val="00501E55"/>
    <w:rsid w:val="00541E74"/>
    <w:rsid w:val="00611CC5"/>
    <w:rsid w:val="00627059"/>
    <w:rsid w:val="006424E5"/>
    <w:rsid w:val="006759F2"/>
    <w:rsid w:val="0072315C"/>
    <w:rsid w:val="00733CDD"/>
    <w:rsid w:val="00753834"/>
    <w:rsid w:val="00763686"/>
    <w:rsid w:val="007672FF"/>
    <w:rsid w:val="007B3CC3"/>
    <w:rsid w:val="007D7927"/>
    <w:rsid w:val="007E1999"/>
    <w:rsid w:val="00801D82"/>
    <w:rsid w:val="008041EC"/>
    <w:rsid w:val="008568BB"/>
    <w:rsid w:val="00885684"/>
    <w:rsid w:val="00885C4F"/>
    <w:rsid w:val="00896CF1"/>
    <w:rsid w:val="008E7047"/>
    <w:rsid w:val="00907AFB"/>
    <w:rsid w:val="009B073A"/>
    <w:rsid w:val="009B23D4"/>
    <w:rsid w:val="009C3046"/>
    <w:rsid w:val="009D51B7"/>
    <w:rsid w:val="00A36D5D"/>
    <w:rsid w:val="00AB56E7"/>
    <w:rsid w:val="00B16C89"/>
    <w:rsid w:val="00BE7BD7"/>
    <w:rsid w:val="00CA251D"/>
    <w:rsid w:val="00D354D4"/>
    <w:rsid w:val="00D67A0D"/>
    <w:rsid w:val="00DB67A4"/>
    <w:rsid w:val="00DC262C"/>
    <w:rsid w:val="00DE05EC"/>
    <w:rsid w:val="00E2598D"/>
    <w:rsid w:val="00E5373B"/>
    <w:rsid w:val="00EE2FBD"/>
    <w:rsid w:val="00FC51B1"/>
    <w:rsid w:val="00FC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6E9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367F4"/>
    <w:pPr>
      <w:keepNext/>
      <w:numPr>
        <w:numId w:val="2"/>
      </w:numPr>
      <w:contextualSpacing/>
      <w:outlineLvl w:val="0"/>
    </w:pPr>
    <w:rPr>
      <w:rFonts w:ascii="Verdana" w:hAnsi="Verdana"/>
    </w:rPr>
  </w:style>
  <w:style w:type="paragraph" w:styleId="NoteLevel2">
    <w:name w:val="Note Level 2"/>
    <w:basedOn w:val="Normal"/>
    <w:uiPriority w:val="99"/>
    <w:unhideWhenUsed/>
    <w:rsid w:val="002367F4"/>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2367F4"/>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2367F4"/>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2367F4"/>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2367F4"/>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2367F4"/>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2367F4"/>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2367F4"/>
    <w:pPr>
      <w:keepNext/>
      <w:numPr>
        <w:ilvl w:val="8"/>
        <w:numId w:val="2"/>
      </w:numPr>
      <w:contextualSpacing/>
      <w:outlineLvl w:val="8"/>
    </w:pPr>
    <w:rPr>
      <w:rFonts w:ascii="Verdana" w:hAnsi="Verdana"/>
    </w:rPr>
  </w:style>
  <w:style w:type="character" w:styleId="Hyperlink">
    <w:name w:val="Hyperlink"/>
    <w:basedOn w:val="DefaultParagraphFont"/>
    <w:uiPriority w:val="99"/>
    <w:unhideWhenUsed/>
    <w:rsid w:val="002367F4"/>
    <w:rPr>
      <w:color w:val="0000FF" w:themeColor="hyperlink"/>
      <w:u w:val="single"/>
    </w:rPr>
  </w:style>
  <w:style w:type="paragraph" w:styleId="Footer">
    <w:name w:val="footer"/>
    <w:basedOn w:val="Normal"/>
    <w:link w:val="FooterChar"/>
    <w:uiPriority w:val="99"/>
    <w:unhideWhenUsed/>
    <w:rsid w:val="00D67A0D"/>
    <w:pPr>
      <w:tabs>
        <w:tab w:val="center" w:pos="4320"/>
        <w:tab w:val="right" w:pos="8640"/>
      </w:tabs>
    </w:pPr>
  </w:style>
  <w:style w:type="character" w:customStyle="1" w:styleId="FooterChar">
    <w:name w:val="Footer Char"/>
    <w:basedOn w:val="DefaultParagraphFont"/>
    <w:link w:val="Footer"/>
    <w:uiPriority w:val="99"/>
    <w:rsid w:val="00D67A0D"/>
  </w:style>
  <w:style w:type="character" w:styleId="PageNumber">
    <w:name w:val="page number"/>
    <w:basedOn w:val="DefaultParagraphFont"/>
    <w:uiPriority w:val="99"/>
    <w:semiHidden/>
    <w:unhideWhenUsed/>
    <w:rsid w:val="00D67A0D"/>
  </w:style>
  <w:style w:type="paragraph" w:styleId="ListParagraph">
    <w:name w:val="List Paragraph"/>
    <w:basedOn w:val="Normal"/>
    <w:uiPriority w:val="34"/>
    <w:qFormat/>
    <w:rsid w:val="009B073A"/>
    <w:pPr>
      <w:ind w:left="720"/>
      <w:contextualSpacing/>
    </w:pPr>
  </w:style>
  <w:style w:type="paragraph" w:styleId="Header">
    <w:name w:val="header"/>
    <w:basedOn w:val="Normal"/>
    <w:link w:val="HeaderChar"/>
    <w:uiPriority w:val="99"/>
    <w:unhideWhenUsed/>
    <w:rsid w:val="008568BB"/>
    <w:pPr>
      <w:tabs>
        <w:tab w:val="center" w:pos="4320"/>
        <w:tab w:val="right" w:pos="8640"/>
      </w:tabs>
    </w:pPr>
  </w:style>
  <w:style w:type="character" w:customStyle="1" w:styleId="HeaderChar">
    <w:name w:val="Header Char"/>
    <w:basedOn w:val="DefaultParagraphFont"/>
    <w:link w:val="Header"/>
    <w:uiPriority w:val="99"/>
    <w:rsid w:val="008568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367F4"/>
    <w:pPr>
      <w:keepNext/>
      <w:numPr>
        <w:numId w:val="2"/>
      </w:numPr>
      <w:contextualSpacing/>
      <w:outlineLvl w:val="0"/>
    </w:pPr>
    <w:rPr>
      <w:rFonts w:ascii="Verdana" w:hAnsi="Verdana"/>
    </w:rPr>
  </w:style>
  <w:style w:type="paragraph" w:styleId="NoteLevel2">
    <w:name w:val="Note Level 2"/>
    <w:basedOn w:val="Normal"/>
    <w:uiPriority w:val="99"/>
    <w:unhideWhenUsed/>
    <w:rsid w:val="002367F4"/>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2367F4"/>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2367F4"/>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2367F4"/>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2367F4"/>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2367F4"/>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2367F4"/>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2367F4"/>
    <w:pPr>
      <w:keepNext/>
      <w:numPr>
        <w:ilvl w:val="8"/>
        <w:numId w:val="2"/>
      </w:numPr>
      <w:contextualSpacing/>
      <w:outlineLvl w:val="8"/>
    </w:pPr>
    <w:rPr>
      <w:rFonts w:ascii="Verdana" w:hAnsi="Verdana"/>
    </w:rPr>
  </w:style>
  <w:style w:type="character" w:styleId="Hyperlink">
    <w:name w:val="Hyperlink"/>
    <w:basedOn w:val="DefaultParagraphFont"/>
    <w:uiPriority w:val="99"/>
    <w:unhideWhenUsed/>
    <w:rsid w:val="002367F4"/>
    <w:rPr>
      <w:color w:val="0000FF" w:themeColor="hyperlink"/>
      <w:u w:val="single"/>
    </w:rPr>
  </w:style>
  <w:style w:type="paragraph" w:styleId="Footer">
    <w:name w:val="footer"/>
    <w:basedOn w:val="Normal"/>
    <w:link w:val="FooterChar"/>
    <w:uiPriority w:val="99"/>
    <w:unhideWhenUsed/>
    <w:rsid w:val="00D67A0D"/>
    <w:pPr>
      <w:tabs>
        <w:tab w:val="center" w:pos="4320"/>
        <w:tab w:val="right" w:pos="8640"/>
      </w:tabs>
    </w:pPr>
  </w:style>
  <w:style w:type="character" w:customStyle="1" w:styleId="FooterChar">
    <w:name w:val="Footer Char"/>
    <w:basedOn w:val="DefaultParagraphFont"/>
    <w:link w:val="Footer"/>
    <w:uiPriority w:val="99"/>
    <w:rsid w:val="00D67A0D"/>
  </w:style>
  <w:style w:type="character" w:styleId="PageNumber">
    <w:name w:val="page number"/>
    <w:basedOn w:val="DefaultParagraphFont"/>
    <w:uiPriority w:val="99"/>
    <w:semiHidden/>
    <w:unhideWhenUsed/>
    <w:rsid w:val="00D67A0D"/>
  </w:style>
  <w:style w:type="paragraph" w:styleId="ListParagraph">
    <w:name w:val="List Paragraph"/>
    <w:basedOn w:val="Normal"/>
    <w:uiPriority w:val="34"/>
    <w:qFormat/>
    <w:rsid w:val="009B073A"/>
    <w:pPr>
      <w:ind w:left="720"/>
      <w:contextualSpacing/>
    </w:pPr>
  </w:style>
  <w:style w:type="paragraph" w:styleId="Header">
    <w:name w:val="header"/>
    <w:basedOn w:val="Normal"/>
    <w:link w:val="HeaderChar"/>
    <w:uiPriority w:val="99"/>
    <w:unhideWhenUsed/>
    <w:rsid w:val="008568BB"/>
    <w:pPr>
      <w:tabs>
        <w:tab w:val="center" w:pos="4320"/>
        <w:tab w:val="right" w:pos="8640"/>
      </w:tabs>
    </w:pPr>
  </w:style>
  <w:style w:type="character" w:customStyle="1" w:styleId="HeaderChar">
    <w:name w:val="Header Char"/>
    <w:basedOn w:val="DefaultParagraphFont"/>
    <w:link w:val="Header"/>
    <w:uiPriority w:val="99"/>
    <w:rsid w:val="0085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how.com/how_5328969_calculate-alkalinity-caco.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1338</Words>
  <Characters>7628</Characters>
  <Application>Microsoft Macintosh Word</Application>
  <DocSecurity>0</DocSecurity>
  <Lines>63</Lines>
  <Paragraphs>17</Paragraphs>
  <ScaleCrop>false</ScaleCrop>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9</cp:revision>
  <dcterms:created xsi:type="dcterms:W3CDTF">2016-09-14T01:52:00Z</dcterms:created>
  <dcterms:modified xsi:type="dcterms:W3CDTF">2016-09-19T10:47:00Z</dcterms:modified>
</cp:coreProperties>
</file>